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DB8" w:rsidRPr="00282DB8" w:rsidRDefault="00282DB8" w:rsidP="00282DB8">
      <w:pPr>
        <w:shd w:val="clear" w:color="auto" w:fill="FFFFFF"/>
        <w:spacing w:before="100" w:beforeAutospacing="1" w:after="240" w:line="240" w:lineRule="auto"/>
        <w:rPr>
          <w:rFonts w:ascii="Trebuchet MS" w:eastAsia="Times New Roman" w:hAnsi="Trebuchet MS" w:cs="Arial"/>
          <w:color w:val="000000" w:themeColor="text1"/>
          <w:sz w:val="14"/>
          <w:szCs w:val="14"/>
          <w:lang w:eastAsia="pt-PT"/>
        </w:rPr>
      </w:pPr>
      <w:r w:rsidRPr="00282DB8">
        <w:rPr>
          <w:rFonts w:ascii="Trebuchet MS" w:eastAsia="Times New Roman" w:hAnsi="Trebuchet MS" w:cs="Arial"/>
          <w:color w:val="000000" w:themeColor="text1"/>
          <w:sz w:val="14"/>
          <w:szCs w:val="14"/>
          <w:lang w:eastAsia="pt-PT"/>
        </w:rPr>
        <w:t xml:space="preserve">Nota inicial: Este documento serve de apoio e consulta ao responsável pelo tratamento de dados e ao DPO para a criação da Avaliação de Impacto sobre a Proteção de Dados. </w:t>
      </w:r>
    </w:p>
    <w:p w:rsidR="00282DB8" w:rsidRPr="00282DB8" w:rsidRDefault="00282DB8" w:rsidP="00282DB8">
      <w:pPr>
        <w:pBdr>
          <w:top w:val="single" w:sz="4" w:space="1" w:color="auto"/>
          <w:left w:val="single" w:sz="4" w:space="4" w:color="auto"/>
          <w:bottom w:val="single" w:sz="4" w:space="1" w:color="auto"/>
          <w:right w:val="single" w:sz="4" w:space="4" w:color="auto"/>
        </w:pBdr>
        <w:rPr>
          <w:rFonts w:ascii="Trebuchet MS" w:hAnsi="Trebuchet MS"/>
          <w:b/>
          <w:sz w:val="24"/>
          <w:szCs w:val="24"/>
        </w:rPr>
      </w:pPr>
      <w:r w:rsidRPr="00282DB8">
        <w:rPr>
          <w:rFonts w:ascii="Trebuchet MS" w:hAnsi="Trebuchet MS"/>
          <w:b/>
          <w:sz w:val="24"/>
          <w:szCs w:val="24"/>
        </w:rPr>
        <w:t xml:space="preserve">AIPD – Avaliação do Impacto da Proteção de Dados (ou </w:t>
      </w:r>
      <w:r w:rsidRPr="00282DB8">
        <w:rPr>
          <w:rFonts w:ascii="Trebuchet MS" w:hAnsi="Trebuchet MS"/>
          <w:b/>
          <w:i/>
          <w:sz w:val="24"/>
          <w:szCs w:val="24"/>
        </w:rPr>
        <w:t>PIA</w:t>
      </w:r>
      <w:r w:rsidRPr="00282DB8">
        <w:rPr>
          <w:rFonts w:ascii="Trebuchet MS" w:hAnsi="Trebuchet MS"/>
          <w:b/>
          <w:sz w:val="24"/>
          <w:szCs w:val="24"/>
        </w:rPr>
        <w:t xml:space="preserve"> – </w:t>
      </w:r>
      <w:r w:rsidRPr="00282DB8">
        <w:rPr>
          <w:rFonts w:ascii="Trebuchet MS" w:hAnsi="Trebuchet MS"/>
          <w:b/>
          <w:i/>
          <w:sz w:val="24"/>
          <w:szCs w:val="24"/>
        </w:rPr>
        <w:t>Privacy Impact Assessment</w:t>
      </w:r>
      <w:r w:rsidRPr="00282DB8">
        <w:rPr>
          <w:rFonts w:ascii="Trebuchet MS" w:hAnsi="Trebuchet MS"/>
          <w:b/>
          <w:sz w:val="24"/>
          <w:szCs w:val="24"/>
        </w:rPr>
        <w:t>)</w:t>
      </w:r>
    </w:p>
    <w:p w:rsidR="00E7315F" w:rsidRPr="00282DB8" w:rsidRDefault="00E7315F" w:rsidP="00117BC3">
      <w:pPr>
        <w:jc w:val="both"/>
        <w:rPr>
          <w:rFonts w:ascii="Trebuchet MS" w:hAnsi="Trebuchet MS"/>
          <w:sz w:val="20"/>
          <w:szCs w:val="20"/>
        </w:rPr>
      </w:pPr>
      <w:r w:rsidRPr="00282DB8">
        <w:rPr>
          <w:rFonts w:ascii="Trebuchet MS" w:hAnsi="Trebuchet MS"/>
          <w:sz w:val="20"/>
          <w:szCs w:val="20"/>
        </w:rPr>
        <w:t>O presente documento descreve a AIPD – Avaliação do Impacto da Proteção de Dados, de acordo com o Regulamento Geral da Proteção de Dados. Com o objetivo</w:t>
      </w:r>
      <w:r w:rsidR="00117BC3" w:rsidRPr="00282DB8">
        <w:rPr>
          <w:rFonts w:ascii="Trebuchet MS" w:hAnsi="Trebuchet MS"/>
          <w:sz w:val="20"/>
          <w:szCs w:val="20"/>
        </w:rPr>
        <w:t xml:space="preserve"> de</w:t>
      </w:r>
      <w:r w:rsidRPr="00282DB8">
        <w:rPr>
          <w:rFonts w:ascii="Trebuchet MS" w:hAnsi="Trebuchet MS"/>
          <w:sz w:val="20"/>
          <w:szCs w:val="20"/>
        </w:rPr>
        <w:t xml:space="preserve"> elucidar todos aqueles que desempenham funções de tratamento dos dados</w:t>
      </w:r>
      <w:r w:rsidR="00117BC3" w:rsidRPr="00282DB8">
        <w:rPr>
          <w:rFonts w:ascii="Trebuchet MS" w:hAnsi="Trebuchet MS"/>
          <w:sz w:val="20"/>
          <w:szCs w:val="20"/>
        </w:rPr>
        <w:t xml:space="preserve">, </w:t>
      </w:r>
      <w:r w:rsidR="00682060">
        <w:rPr>
          <w:rFonts w:ascii="Trebuchet MS" w:hAnsi="Trebuchet MS"/>
          <w:sz w:val="20"/>
          <w:szCs w:val="20"/>
        </w:rPr>
        <w:t xml:space="preserve">encontrará </w:t>
      </w:r>
      <w:r w:rsidR="00117BC3" w:rsidRPr="00282DB8">
        <w:rPr>
          <w:rFonts w:ascii="Trebuchet MS" w:hAnsi="Trebuchet MS"/>
          <w:sz w:val="20"/>
          <w:szCs w:val="20"/>
        </w:rPr>
        <w:t>resposta</w:t>
      </w:r>
      <w:r w:rsidR="00682060">
        <w:rPr>
          <w:rFonts w:ascii="Trebuchet MS" w:hAnsi="Trebuchet MS"/>
          <w:sz w:val="20"/>
          <w:szCs w:val="20"/>
        </w:rPr>
        <w:t>s</w:t>
      </w:r>
      <w:r w:rsidR="00117BC3" w:rsidRPr="00282DB8">
        <w:rPr>
          <w:rFonts w:ascii="Trebuchet MS" w:hAnsi="Trebuchet MS"/>
          <w:sz w:val="20"/>
          <w:szCs w:val="20"/>
        </w:rPr>
        <w:t xml:space="preserve"> às principais questões </w:t>
      </w:r>
      <w:r w:rsidR="00682060">
        <w:rPr>
          <w:rFonts w:ascii="Trebuchet MS" w:hAnsi="Trebuchet MS"/>
          <w:sz w:val="20"/>
          <w:szCs w:val="20"/>
        </w:rPr>
        <w:t xml:space="preserve">que </w:t>
      </w:r>
      <w:r w:rsidR="00117BC3" w:rsidRPr="00282DB8">
        <w:rPr>
          <w:rFonts w:ascii="Trebuchet MS" w:hAnsi="Trebuchet MS"/>
          <w:sz w:val="20"/>
          <w:szCs w:val="20"/>
        </w:rPr>
        <w:t>surgem quando se fala da Avaliação do Impacto da Proteção de Dados.</w:t>
      </w:r>
    </w:p>
    <w:p w:rsidR="00B05AE4" w:rsidRPr="00282DB8" w:rsidRDefault="00B05AE4" w:rsidP="00A8383A">
      <w:pPr>
        <w:pStyle w:val="Cabealho1"/>
        <w:rPr>
          <w:rFonts w:ascii="Trebuchet MS" w:hAnsi="Trebuchet MS"/>
          <w:b/>
          <w:color w:val="808080" w:themeColor="background1" w:themeShade="80"/>
          <w:sz w:val="22"/>
          <w:szCs w:val="22"/>
        </w:rPr>
      </w:pPr>
      <w:r w:rsidRPr="00282DB8">
        <w:rPr>
          <w:rFonts w:ascii="Trebuchet MS" w:hAnsi="Trebuchet MS"/>
          <w:b/>
          <w:color w:val="808080" w:themeColor="background1" w:themeShade="80"/>
          <w:sz w:val="22"/>
          <w:szCs w:val="22"/>
        </w:rPr>
        <w:t>O que é?</w:t>
      </w:r>
    </w:p>
    <w:p w:rsidR="00B05AE4" w:rsidRPr="00282DB8" w:rsidRDefault="00A8383A" w:rsidP="00A8383A">
      <w:pPr>
        <w:jc w:val="both"/>
        <w:rPr>
          <w:rFonts w:ascii="Trebuchet MS" w:hAnsi="Trebuchet MS"/>
        </w:rPr>
      </w:pPr>
      <w:r w:rsidRPr="00282DB8">
        <w:rPr>
          <w:rFonts w:ascii="Trebuchet MS" w:hAnsi="Trebuchet MS"/>
        </w:rPr>
        <w:t>É uma a</w:t>
      </w:r>
      <w:r w:rsidR="00B05AE4" w:rsidRPr="00282DB8">
        <w:rPr>
          <w:rFonts w:ascii="Trebuchet MS" w:hAnsi="Trebuchet MS"/>
        </w:rPr>
        <w:t xml:space="preserve">valiação de </w:t>
      </w:r>
      <w:r w:rsidR="00D42034" w:rsidRPr="00282DB8">
        <w:rPr>
          <w:rFonts w:ascii="Trebuchet MS" w:hAnsi="Trebuchet MS"/>
        </w:rPr>
        <w:t>impacto</w:t>
      </w:r>
      <w:r w:rsidR="00B05AE4" w:rsidRPr="00282DB8">
        <w:rPr>
          <w:rFonts w:ascii="Trebuchet MS" w:hAnsi="Trebuchet MS"/>
        </w:rPr>
        <w:t xml:space="preserve"> do </w:t>
      </w:r>
      <w:r w:rsidRPr="00282DB8">
        <w:rPr>
          <w:rFonts w:ascii="Trebuchet MS" w:hAnsi="Trebuchet MS"/>
        </w:rPr>
        <w:t>tratamento</w:t>
      </w:r>
      <w:r w:rsidR="00B05AE4" w:rsidRPr="00282DB8">
        <w:rPr>
          <w:rFonts w:ascii="Trebuchet MS" w:hAnsi="Trebuchet MS"/>
        </w:rPr>
        <w:t xml:space="preserve"> de dados pessoais. </w:t>
      </w:r>
      <w:r w:rsidRPr="00282DB8">
        <w:rPr>
          <w:rFonts w:ascii="Trebuchet MS" w:hAnsi="Trebuchet MS"/>
        </w:rPr>
        <w:t xml:space="preserve">Esta avaliação deve ser realizada sempre que há lugar a tratamento de dados que apresentem riscos de violação de privacidade, quer pela sua natureza, quer no âmbito das atividades desenvolvidas. Esta avaliação prévia permite que as entidades, ao identificarem problemas na fase inicial, reduzam os custos associados ao incumprimento do Regulamento Geral da Proteção de Dados. </w:t>
      </w:r>
    </w:p>
    <w:p w:rsidR="00B05AE4" w:rsidRPr="00282DB8" w:rsidRDefault="00B05AE4" w:rsidP="00A8383A">
      <w:pPr>
        <w:pStyle w:val="Cabealho1"/>
        <w:jc w:val="both"/>
        <w:rPr>
          <w:rFonts w:ascii="Trebuchet MS" w:hAnsi="Trebuchet MS"/>
          <w:b/>
          <w:color w:val="808080" w:themeColor="background1" w:themeShade="80"/>
          <w:sz w:val="22"/>
          <w:szCs w:val="22"/>
        </w:rPr>
      </w:pPr>
      <w:r w:rsidRPr="00282DB8">
        <w:rPr>
          <w:rFonts w:ascii="Trebuchet MS" w:hAnsi="Trebuchet MS"/>
          <w:b/>
          <w:color w:val="808080" w:themeColor="background1" w:themeShade="80"/>
          <w:sz w:val="22"/>
          <w:szCs w:val="22"/>
        </w:rPr>
        <w:t>Quem deve</w:t>
      </w:r>
      <w:r w:rsidR="00117BC3" w:rsidRPr="00282DB8">
        <w:rPr>
          <w:rFonts w:ascii="Trebuchet MS" w:hAnsi="Trebuchet MS"/>
          <w:b/>
          <w:color w:val="808080" w:themeColor="background1" w:themeShade="80"/>
          <w:sz w:val="22"/>
          <w:szCs w:val="22"/>
        </w:rPr>
        <w:t xml:space="preserve"> realizar a AIPD</w:t>
      </w:r>
      <w:r w:rsidRPr="00282DB8">
        <w:rPr>
          <w:rFonts w:ascii="Trebuchet MS" w:hAnsi="Trebuchet MS"/>
          <w:b/>
          <w:color w:val="808080" w:themeColor="background1" w:themeShade="80"/>
          <w:sz w:val="22"/>
          <w:szCs w:val="22"/>
        </w:rPr>
        <w:t>?</w:t>
      </w:r>
    </w:p>
    <w:p w:rsidR="00B05AE4" w:rsidRPr="00282DB8" w:rsidRDefault="00B05AE4" w:rsidP="00DA088D">
      <w:pPr>
        <w:jc w:val="both"/>
        <w:rPr>
          <w:rFonts w:ascii="Trebuchet MS" w:hAnsi="Trebuchet MS"/>
        </w:rPr>
      </w:pPr>
      <w:r w:rsidRPr="00282DB8">
        <w:rPr>
          <w:rFonts w:ascii="Trebuchet MS" w:hAnsi="Trebuchet MS"/>
        </w:rPr>
        <w:t>Todas as empresas que efetuam o tratamento de dados pessoais que podem resultar num risco elevado aos direitos do titular dos dados.</w:t>
      </w:r>
      <w:r w:rsidR="00167803" w:rsidRPr="00282DB8">
        <w:rPr>
          <w:rFonts w:ascii="Trebuchet MS" w:hAnsi="Trebuchet MS"/>
        </w:rPr>
        <w:t xml:space="preserve"> Esta avaliação n</w:t>
      </w:r>
      <w:r w:rsidR="00DA088D" w:rsidRPr="00282DB8">
        <w:rPr>
          <w:rFonts w:ascii="Trebuchet MS" w:hAnsi="Trebuchet MS"/>
        </w:rPr>
        <w:t xml:space="preserve">ão é da responsabilidade do </w:t>
      </w:r>
      <w:r w:rsidR="0075447F" w:rsidRPr="00282DB8">
        <w:rPr>
          <w:rFonts w:ascii="Trebuchet MS" w:hAnsi="Trebuchet MS"/>
        </w:rPr>
        <w:t>EPD (Encarregado pela Proteção de Dados)</w:t>
      </w:r>
      <w:r w:rsidR="00DA088D" w:rsidRPr="00282DB8">
        <w:rPr>
          <w:rFonts w:ascii="Trebuchet MS" w:hAnsi="Trebuchet MS"/>
        </w:rPr>
        <w:t xml:space="preserve">, mas sim do responsável pelo tratamento </w:t>
      </w:r>
      <w:r w:rsidR="0075447F" w:rsidRPr="00282DB8">
        <w:rPr>
          <w:rFonts w:ascii="Trebuchet MS" w:hAnsi="Trebuchet MS"/>
        </w:rPr>
        <w:t>dos dados. No entanto, o</w:t>
      </w:r>
      <w:r w:rsidR="00DA088D" w:rsidRPr="00282DB8">
        <w:rPr>
          <w:rFonts w:ascii="Trebuchet MS" w:hAnsi="Trebuchet MS"/>
        </w:rPr>
        <w:t xml:space="preserve"> EPD pode desempenhar um papel muito importante e útil, prestando assistência ao responsável pelo tratamento.</w:t>
      </w:r>
      <w:r w:rsidR="0075447F" w:rsidRPr="00282DB8">
        <w:rPr>
          <w:rFonts w:ascii="Trebuchet MS" w:hAnsi="Trebuchet MS"/>
        </w:rPr>
        <w:t xml:space="preserve"> Ao abrigo do artigo 35º, nº2, o responsável pelo tratamento deve “solicita[r] o parecer” do encarregado pela proteção de dados e, de acordo com o </w:t>
      </w:r>
      <w:r w:rsidR="00DA088D" w:rsidRPr="00282DB8">
        <w:rPr>
          <w:rFonts w:ascii="Trebuchet MS" w:hAnsi="Trebuchet MS"/>
        </w:rPr>
        <w:t xml:space="preserve">artigo 39.º, n.º 1, alínea c), </w:t>
      </w:r>
      <w:r w:rsidR="0075447F" w:rsidRPr="00282DB8">
        <w:rPr>
          <w:rFonts w:ascii="Trebuchet MS" w:hAnsi="Trebuchet MS"/>
        </w:rPr>
        <w:t xml:space="preserve">o EPD deve </w:t>
      </w:r>
      <w:r w:rsidR="00682060">
        <w:rPr>
          <w:rFonts w:ascii="Trebuchet MS" w:hAnsi="Trebuchet MS"/>
        </w:rPr>
        <w:t>“prestar</w:t>
      </w:r>
      <w:r w:rsidR="00DA088D" w:rsidRPr="00282DB8">
        <w:rPr>
          <w:rFonts w:ascii="Trebuchet MS" w:hAnsi="Trebuchet MS"/>
        </w:rPr>
        <w:t xml:space="preserve"> aconselhamento, quando tal lhe for</w:t>
      </w:r>
      <w:r w:rsidR="00682060">
        <w:rPr>
          <w:rFonts w:ascii="Trebuchet MS" w:hAnsi="Trebuchet MS"/>
        </w:rPr>
        <w:t xml:space="preserve"> solicitado, no que respeita à AIPD</w:t>
      </w:r>
      <w:r w:rsidR="00DA088D" w:rsidRPr="00282DB8">
        <w:rPr>
          <w:rFonts w:ascii="Trebuchet MS" w:hAnsi="Trebuchet MS"/>
        </w:rPr>
        <w:t>, e controla</w:t>
      </w:r>
      <w:r w:rsidR="00682060">
        <w:rPr>
          <w:rFonts w:ascii="Trebuchet MS" w:hAnsi="Trebuchet MS"/>
        </w:rPr>
        <w:t>r</w:t>
      </w:r>
      <w:r w:rsidR="00DA088D" w:rsidRPr="00282DB8">
        <w:rPr>
          <w:rFonts w:ascii="Trebuchet MS" w:hAnsi="Trebuchet MS"/>
        </w:rPr>
        <w:t xml:space="preserve"> a sua reali</w:t>
      </w:r>
      <w:r w:rsidR="0075447F" w:rsidRPr="00282DB8">
        <w:rPr>
          <w:rFonts w:ascii="Trebuchet MS" w:hAnsi="Trebuchet MS"/>
        </w:rPr>
        <w:t>zação nos termos do artigo 35.º”</w:t>
      </w:r>
      <w:r w:rsidR="00DA088D" w:rsidRPr="00282DB8">
        <w:rPr>
          <w:rFonts w:ascii="Trebuchet MS" w:hAnsi="Trebuchet MS"/>
        </w:rPr>
        <w:t>.</w:t>
      </w:r>
    </w:p>
    <w:p w:rsidR="00B05AE4" w:rsidRPr="00282DB8" w:rsidRDefault="00B05AE4" w:rsidP="00A8383A">
      <w:pPr>
        <w:pStyle w:val="Cabealho1"/>
        <w:jc w:val="both"/>
        <w:rPr>
          <w:rFonts w:ascii="Trebuchet MS" w:hAnsi="Trebuchet MS"/>
          <w:b/>
          <w:color w:val="808080" w:themeColor="background1" w:themeShade="80"/>
          <w:sz w:val="22"/>
          <w:szCs w:val="22"/>
        </w:rPr>
      </w:pPr>
      <w:r w:rsidRPr="00282DB8">
        <w:rPr>
          <w:rFonts w:ascii="Trebuchet MS" w:hAnsi="Trebuchet MS"/>
          <w:b/>
          <w:color w:val="808080" w:themeColor="background1" w:themeShade="80"/>
          <w:sz w:val="22"/>
          <w:szCs w:val="22"/>
        </w:rPr>
        <w:t>Quando deve ser realizada?</w:t>
      </w:r>
    </w:p>
    <w:p w:rsidR="00B05AE4" w:rsidRPr="00282DB8" w:rsidRDefault="0075447F" w:rsidP="00A8383A">
      <w:pPr>
        <w:jc w:val="both"/>
        <w:rPr>
          <w:rFonts w:ascii="Trebuchet MS" w:hAnsi="Trebuchet MS"/>
        </w:rPr>
      </w:pPr>
      <w:r w:rsidRPr="00282DB8">
        <w:rPr>
          <w:rFonts w:ascii="Trebuchet MS" w:hAnsi="Trebuchet MS"/>
        </w:rPr>
        <w:t>Esta avaliação de impacto d</w:t>
      </w:r>
      <w:r w:rsidR="00B05AE4" w:rsidRPr="00282DB8">
        <w:rPr>
          <w:rFonts w:ascii="Trebuchet MS" w:hAnsi="Trebuchet MS"/>
        </w:rPr>
        <w:t xml:space="preserve">eve ser realizada antes de dar início ao tratamento dos dados pessoais. </w:t>
      </w:r>
    </w:p>
    <w:p w:rsidR="00B05AE4" w:rsidRPr="00282DB8" w:rsidRDefault="00B05AE4" w:rsidP="00A8383A">
      <w:pPr>
        <w:pStyle w:val="Cabealho1"/>
        <w:jc w:val="both"/>
        <w:rPr>
          <w:rFonts w:ascii="Trebuchet MS" w:hAnsi="Trebuchet MS"/>
          <w:b/>
          <w:color w:val="808080" w:themeColor="background1" w:themeShade="80"/>
          <w:sz w:val="22"/>
          <w:szCs w:val="22"/>
        </w:rPr>
      </w:pPr>
      <w:r w:rsidRPr="00282DB8">
        <w:rPr>
          <w:rFonts w:ascii="Trebuchet MS" w:hAnsi="Trebuchet MS"/>
          <w:b/>
          <w:color w:val="808080" w:themeColor="background1" w:themeShade="80"/>
          <w:sz w:val="22"/>
          <w:szCs w:val="22"/>
        </w:rPr>
        <w:t>Situações em que a mesma é obrigatória:</w:t>
      </w:r>
    </w:p>
    <w:p w:rsidR="00B05AE4" w:rsidRPr="00282DB8" w:rsidRDefault="0075447F" w:rsidP="00A8383A">
      <w:pPr>
        <w:jc w:val="both"/>
        <w:rPr>
          <w:rFonts w:ascii="Trebuchet MS" w:hAnsi="Trebuchet MS"/>
        </w:rPr>
      </w:pPr>
      <w:r w:rsidRPr="00282DB8">
        <w:rPr>
          <w:rFonts w:ascii="Trebuchet MS" w:hAnsi="Trebuchet MS"/>
        </w:rPr>
        <w:t>a)</w:t>
      </w:r>
      <w:r w:rsidR="00B05AE4" w:rsidRPr="00282DB8">
        <w:rPr>
          <w:rFonts w:ascii="Trebuchet MS" w:hAnsi="Trebuchet MS"/>
          <w:b/>
        </w:rPr>
        <w:t xml:space="preserve"> </w:t>
      </w:r>
      <w:r w:rsidR="00B05AE4" w:rsidRPr="00282DB8">
        <w:rPr>
          <w:rFonts w:ascii="Trebuchet MS" w:hAnsi="Trebuchet MS"/>
        </w:rPr>
        <w:t xml:space="preserve">Sempre que existe uma avaliação sistemática e extensiva de aspetos pessoais relacionados com cidadãos, baseada em processamento automatizado, incluindo definição de perfis, que poderão afetar significativamente a pessoa. (Ex.: Instituições financeiras que aprovam empréstimos de forma automatizada, empresas de marketing </w:t>
      </w:r>
      <w:r w:rsidR="00B05AE4" w:rsidRPr="00282DB8">
        <w:rPr>
          <w:rFonts w:ascii="Trebuchet MS" w:hAnsi="Trebuchet MS"/>
          <w:i/>
        </w:rPr>
        <w:t>online</w:t>
      </w:r>
      <w:r w:rsidR="00B05AE4" w:rsidRPr="00282DB8">
        <w:rPr>
          <w:rFonts w:ascii="Trebuchet MS" w:hAnsi="Trebuchet MS"/>
        </w:rPr>
        <w:t xml:space="preserve"> e motores de busca com alvos de marketing).</w:t>
      </w:r>
    </w:p>
    <w:p w:rsidR="00B05AE4" w:rsidRPr="00282DB8" w:rsidRDefault="009B4195" w:rsidP="00A8383A">
      <w:pPr>
        <w:jc w:val="both"/>
        <w:rPr>
          <w:rFonts w:ascii="Trebuchet MS" w:hAnsi="Trebuchet MS"/>
        </w:rPr>
      </w:pPr>
      <w:r w:rsidRPr="00282DB8">
        <w:rPr>
          <w:rFonts w:ascii="Trebuchet MS" w:hAnsi="Trebuchet MS"/>
        </w:rPr>
        <w:t xml:space="preserve">b) </w:t>
      </w:r>
      <w:r w:rsidR="00B05AE4" w:rsidRPr="00282DB8">
        <w:rPr>
          <w:rFonts w:ascii="Trebuchet MS" w:hAnsi="Trebuchet MS"/>
        </w:rPr>
        <w:t>Sempre que existe tratamento de dados pessoais sensíveis em larga escala e dados pessoais relativos a convicções criminais</w:t>
      </w:r>
      <w:r w:rsidR="001612C1" w:rsidRPr="00282DB8">
        <w:rPr>
          <w:rFonts w:ascii="Trebuchet MS" w:hAnsi="Trebuchet MS"/>
        </w:rPr>
        <w:t>. (Ex.: Companhias de seguros, fornecedores de cuidados de saúde).</w:t>
      </w:r>
    </w:p>
    <w:p w:rsidR="001612C1" w:rsidRPr="00282DB8" w:rsidRDefault="009B4195" w:rsidP="00A8383A">
      <w:pPr>
        <w:jc w:val="both"/>
        <w:rPr>
          <w:rFonts w:ascii="Trebuchet MS" w:hAnsi="Trebuchet MS"/>
        </w:rPr>
      </w:pPr>
      <w:r w:rsidRPr="00282DB8">
        <w:rPr>
          <w:rFonts w:ascii="Trebuchet MS" w:hAnsi="Trebuchet MS"/>
        </w:rPr>
        <w:t xml:space="preserve">c) </w:t>
      </w:r>
      <w:r w:rsidR="001612C1" w:rsidRPr="00282DB8">
        <w:rPr>
          <w:rFonts w:ascii="Trebuchet MS" w:hAnsi="Trebuchet MS"/>
        </w:rPr>
        <w:t xml:space="preserve">Monitorização sistemática de áreas </w:t>
      </w:r>
      <w:r w:rsidRPr="00282DB8">
        <w:rPr>
          <w:rFonts w:ascii="Trebuchet MS" w:hAnsi="Trebuchet MS"/>
        </w:rPr>
        <w:t xml:space="preserve">públicas </w:t>
      </w:r>
      <w:r w:rsidR="001612C1" w:rsidRPr="00282DB8">
        <w:rPr>
          <w:rFonts w:ascii="Trebuchet MS" w:hAnsi="Trebuchet MS"/>
        </w:rPr>
        <w:t>em larga escala (Ex.: Autoridades locais que utilizem circu</w:t>
      </w:r>
      <w:bookmarkStart w:id="0" w:name="_GoBack"/>
      <w:bookmarkEnd w:id="0"/>
      <w:r w:rsidR="001612C1" w:rsidRPr="00282DB8">
        <w:rPr>
          <w:rFonts w:ascii="Trebuchet MS" w:hAnsi="Trebuchet MS"/>
        </w:rPr>
        <w:t>itos fechados de televisão em áreas públicas).</w:t>
      </w:r>
    </w:p>
    <w:p w:rsidR="001612C1" w:rsidRPr="00282DB8" w:rsidRDefault="001612C1" w:rsidP="00A8383A">
      <w:pPr>
        <w:pStyle w:val="Cabealho1"/>
        <w:jc w:val="both"/>
        <w:rPr>
          <w:rFonts w:ascii="Trebuchet MS" w:hAnsi="Trebuchet MS"/>
          <w:b/>
          <w:color w:val="808080" w:themeColor="background1" w:themeShade="80"/>
          <w:sz w:val="22"/>
          <w:szCs w:val="22"/>
        </w:rPr>
      </w:pPr>
      <w:r w:rsidRPr="00282DB8">
        <w:rPr>
          <w:rFonts w:ascii="Trebuchet MS" w:hAnsi="Trebuchet MS"/>
          <w:b/>
          <w:color w:val="808080" w:themeColor="background1" w:themeShade="80"/>
          <w:sz w:val="22"/>
          <w:szCs w:val="22"/>
        </w:rPr>
        <w:lastRenderedPageBreak/>
        <w:t>Consulta prévia</w:t>
      </w:r>
    </w:p>
    <w:p w:rsidR="001612C1" w:rsidRPr="00282DB8" w:rsidRDefault="001612C1" w:rsidP="00A8383A">
      <w:pPr>
        <w:jc w:val="both"/>
        <w:rPr>
          <w:rFonts w:ascii="Trebuchet MS" w:hAnsi="Trebuchet MS"/>
        </w:rPr>
      </w:pPr>
      <w:r w:rsidRPr="00282DB8">
        <w:rPr>
          <w:rFonts w:ascii="Trebuchet MS" w:hAnsi="Trebuchet MS"/>
        </w:rPr>
        <w:t xml:space="preserve">Enquanto responsável pelo tratamento dos dados, deverá consultar a autoridade </w:t>
      </w:r>
      <w:r w:rsidR="009B4195" w:rsidRPr="00282DB8">
        <w:rPr>
          <w:rFonts w:ascii="Trebuchet MS" w:hAnsi="Trebuchet MS"/>
        </w:rPr>
        <w:t>supervisora</w:t>
      </w:r>
      <w:r w:rsidRPr="00282DB8">
        <w:rPr>
          <w:rFonts w:ascii="Trebuchet MS" w:hAnsi="Trebuchet MS"/>
        </w:rPr>
        <w:t xml:space="preserve"> sobre a possibilidade de o tratamento dos dados resultar num elevado risco à segurança dos dados pessoais. Sempre que </w:t>
      </w:r>
      <w:r w:rsidR="009B4195" w:rsidRPr="00282DB8">
        <w:rPr>
          <w:rFonts w:ascii="Trebuchet MS" w:hAnsi="Trebuchet MS"/>
        </w:rPr>
        <w:t>esta</w:t>
      </w:r>
      <w:r w:rsidRPr="00282DB8">
        <w:rPr>
          <w:rFonts w:ascii="Trebuchet MS" w:hAnsi="Trebuchet MS"/>
        </w:rPr>
        <w:t xml:space="preserve"> considerar que o tratamento dos dados não cumpre o RGPD, deverá fornecer aconselhamento por escrito ao responsável pelo tratamento dos dados. Como parte do processo de consulta, a autoridade </w:t>
      </w:r>
      <w:r w:rsidR="009B4195" w:rsidRPr="00282DB8">
        <w:rPr>
          <w:rFonts w:ascii="Trebuchet MS" w:hAnsi="Trebuchet MS"/>
        </w:rPr>
        <w:t>supervisora</w:t>
      </w:r>
      <w:r w:rsidRPr="00282DB8">
        <w:rPr>
          <w:rFonts w:ascii="Trebuchet MS" w:hAnsi="Trebuchet MS"/>
        </w:rPr>
        <w:t xml:space="preserve"> solicitará:</w:t>
      </w:r>
    </w:p>
    <w:p w:rsidR="001612C1" w:rsidRPr="00282DB8" w:rsidRDefault="009B4195" w:rsidP="00A8383A">
      <w:pPr>
        <w:jc w:val="both"/>
        <w:rPr>
          <w:rFonts w:ascii="Trebuchet MS" w:hAnsi="Trebuchet MS"/>
        </w:rPr>
      </w:pPr>
      <w:r w:rsidRPr="00282DB8">
        <w:rPr>
          <w:rFonts w:ascii="Trebuchet MS" w:hAnsi="Trebuchet MS"/>
        </w:rPr>
        <w:t>1)</w:t>
      </w:r>
      <w:r w:rsidR="001612C1" w:rsidRPr="00282DB8">
        <w:rPr>
          <w:rFonts w:ascii="Trebuchet MS" w:hAnsi="Trebuchet MS"/>
        </w:rPr>
        <w:t xml:space="preserve"> As responsabilidades do responsável pelo tratamento dos dados</w:t>
      </w:r>
      <w:r w:rsidRPr="00282DB8">
        <w:rPr>
          <w:rFonts w:ascii="Trebuchet MS" w:hAnsi="Trebuchet MS"/>
        </w:rPr>
        <w:t>;</w:t>
      </w:r>
    </w:p>
    <w:p w:rsidR="001612C1" w:rsidRPr="00282DB8" w:rsidRDefault="009B4195" w:rsidP="00A8383A">
      <w:pPr>
        <w:jc w:val="both"/>
        <w:rPr>
          <w:rFonts w:ascii="Trebuchet MS" w:hAnsi="Trebuchet MS"/>
        </w:rPr>
      </w:pPr>
      <w:r w:rsidRPr="00282DB8">
        <w:rPr>
          <w:rFonts w:ascii="Trebuchet MS" w:hAnsi="Trebuchet MS"/>
        </w:rPr>
        <w:t xml:space="preserve">2) </w:t>
      </w:r>
      <w:r w:rsidR="001612C1" w:rsidRPr="00282DB8">
        <w:rPr>
          <w:rFonts w:ascii="Trebuchet MS" w:hAnsi="Trebuchet MS"/>
        </w:rPr>
        <w:t xml:space="preserve">Finalidades </w:t>
      </w:r>
      <w:r w:rsidR="003F4EEC" w:rsidRPr="00282DB8">
        <w:rPr>
          <w:rFonts w:ascii="Trebuchet MS" w:hAnsi="Trebuchet MS"/>
        </w:rPr>
        <w:t>e meios de tratamento dos dados</w:t>
      </w:r>
      <w:r w:rsidRPr="00282DB8">
        <w:rPr>
          <w:rFonts w:ascii="Trebuchet MS" w:hAnsi="Trebuchet MS"/>
        </w:rPr>
        <w:t>;</w:t>
      </w:r>
    </w:p>
    <w:p w:rsidR="003F4EEC" w:rsidRPr="00282DB8" w:rsidRDefault="009B4195" w:rsidP="00A8383A">
      <w:pPr>
        <w:jc w:val="both"/>
        <w:rPr>
          <w:rFonts w:ascii="Trebuchet MS" w:hAnsi="Trebuchet MS"/>
        </w:rPr>
      </w:pPr>
      <w:r w:rsidRPr="00282DB8">
        <w:rPr>
          <w:rFonts w:ascii="Trebuchet MS" w:hAnsi="Trebuchet MS"/>
        </w:rPr>
        <w:t xml:space="preserve">3) </w:t>
      </w:r>
      <w:r w:rsidR="003F4EEC" w:rsidRPr="00282DB8">
        <w:rPr>
          <w:rFonts w:ascii="Trebuchet MS" w:hAnsi="Trebuchet MS"/>
        </w:rPr>
        <w:t>Medidas de segurança utilizadas para proteger os dados pessoais</w:t>
      </w:r>
      <w:r w:rsidRPr="00282DB8">
        <w:rPr>
          <w:rFonts w:ascii="Trebuchet MS" w:hAnsi="Trebuchet MS"/>
        </w:rPr>
        <w:t>;</w:t>
      </w:r>
      <w:r w:rsidR="003F4EEC" w:rsidRPr="00282DB8">
        <w:rPr>
          <w:rFonts w:ascii="Trebuchet MS" w:hAnsi="Trebuchet MS"/>
        </w:rPr>
        <w:t xml:space="preserve"> </w:t>
      </w:r>
    </w:p>
    <w:p w:rsidR="003F4EEC" w:rsidRPr="00282DB8" w:rsidRDefault="009B4195" w:rsidP="00A8383A">
      <w:pPr>
        <w:jc w:val="both"/>
        <w:rPr>
          <w:rFonts w:ascii="Trebuchet MS" w:hAnsi="Trebuchet MS"/>
        </w:rPr>
      </w:pPr>
      <w:r w:rsidRPr="00282DB8">
        <w:rPr>
          <w:rFonts w:ascii="Trebuchet MS" w:hAnsi="Trebuchet MS"/>
        </w:rPr>
        <w:t xml:space="preserve">4) </w:t>
      </w:r>
      <w:r w:rsidR="003F4EEC" w:rsidRPr="00282DB8">
        <w:rPr>
          <w:rFonts w:ascii="Trebuchet MS" w:hAnsi="Trebuchet MS"/>
        </w:rPr>
        <w:t xml:space="preserve">Informações de contacto do </w:t>
      </w:r>
      <w:r w:rsidRPr="00282DB8">
        <w:rPr>
          <w:rFonts w:ascii="Trebuchet MS" w:hAnsi="Trebuchet MS"/>
        </w:rPr>
        <w:t>EPD</w:t>
      </w:r>
      <w:r w:rsidR="003F4EEC" w:rsidRPr="00282DB8">
        <w:rPr>
          <w:rFonts w:ascii="Trebuchet MS" w:hAnsi="Trebuchet MS"/>
        </w:rPr>
        <w:t xml:space="preserve"> (Encarregado da Proteção de Dados)</w:t>
      </w:r>
      <w:r w:rsidRPr="00282DB8">
        <w:rPr>
          <w:rFonts w:ascii="Trebuchet MS" w:hAnsi="Trebuchet MS"/>
        </w:rPr>
        <w:t>;</w:t>
      </w:r>
    </w:p>
    <w:p w:rsidR="00FB4BB0" w:rsidRPr="00282DB8" w:rsidRDefault="009B4195" w:rsidP="00A8383A">
      <w:pPr>
        <w:jc w:val="both"/>
        <w:rPr>
          <w:rFonts w:ascii="Trebuchet MS" w:hAnsi="Trebuchet MS"/>
        </w:rPr>
      </w:pPr>
      <w:r w:rsidRPr="00282DB8">
        <w:rPr>
          <w:rFonts w:ascii="Trebuchet MS" w:hAnsi="Trebuchet MS"/>
        </w:rPr>
        <w:t xml:space="preserve">5) </w:t>
      </w:r>
      <w:r w:rsidR="003F4EEC" w:rsidRPr="00282DB8">
        <w:rPr>
          <w:rFonts w:ascii="Trebuchet MS" w:hAnsi="Trebuchet MS"/>
        </w:rPr>
        <w:t xml:space="preserve">AIPD </w:t>
      </w:r>
      <w:r w:rsidRPr="00282DB8">
        <w:rPr>
          <w:rFonts w:ascii="Trebuchet MS" w:hAnsi="Trebuchet MS"/>
        </w:rPr>
        <w:t>(</w:t>
      </w:r>
      <w:r w:rsidR="003F4EEC" w:rsidRPr="00282DB8">
        <w:rPr>
          <w:rFonts w:ascii="Trebuchet MS" w:hAnsi="Trebuchet MS"/>
        </w:rPr>
        <w:t>Avaliação de Impacto da Proteção dos Dados</w:t>
      </w:r>
      <w:r w:rsidRPr="00282DB8">
        <w:rPr>
          <w:rFonts w:ascii="Trebuchet MS" w:hAnsi="Trebuchet MS"/>
        </w:rPr>
        <w:t>).</w:t>
      </w:r>
    </w:p>
    <w:p w:rsidR="003F4EEC" w:rsidRPr="00282DB8" w:rsidRDefault="00D21F5D" w:rsidP="00A8383A">
      <w:pPr>
        <w:pStyle w:val="Cabealho1"/>
        <w:jc w:val="both"/>
        <w:rPr>
          <w:rFonts w:ascii="Trebuchet MS" w:hAnsi="Trebuchet MS"/>
          <w:b/>
          <w:color w:val="808080" w:themeColor="background1" w:themeShade="80"/>
          <w:sz w:val="22"/>
          <w:szCs w:val="22"/>
        </w:rPr>
      </w:pPr>
      <w:r w:rsidRPr="00282DB8">
        <w:rPr>
          <w:rFonts w:ascii="Trebuchet MS" w:hAnsi="Trebuchet MS"/>
          <w:b/>
          <w:color w:val="808080" w:themeColor="background1" w:themeShade="80"/>
          <w:sz w:val="22"/>
          <w:szCs w:val="22"/>
        </w:rPr>
        <w:t xml:space="preserve">Como é </w:t>
      </w:r>
      <w:r w:rsidR="00FB4BB0" w:rsidRPr="00282DB8">
        <w:rPr>
          <w:rFonts w:ascii="Trebuchet MS" w:hAnsi="Trebuchet MS"/>
          <w:b/>
          <w:color w:val="808080" w:themeColor="background1" w:themeShade="80"/>
          <w:sz w:val="22"/>
          <w:szCs w:val="22"/>
        </w:rPr>
        <w:t xml:space="preserve">realizado </w:t>
      </w:r>
      <w:r w:rsidRPr="00282DB8">
        <w:rPr>
          <w:rFonts w:ascii="Trebuchet MS" w:hAnsi="Trebuchet MS"/>
          <w:b/>
          <w:color w:val="808080" w:themeColor="background1" w:themeShade="80"/>
          <w:sz w:val="22"/>
          <w:szCs w:val="22"/>
        </w:rPr>
        <w:t xml:space="preserve">o processo da </w:t>
      </w:r>
      <w:r w:rsidR="00FB4BB0" w:rsidRPr="00282DB8">
        <w:rPr>
          <w:rFonts w:ascii="Trebuchet MS" w:hAnsi="Trebuchet MS"/>
          <w:b/>
          <w:color w:val="808080" w:themeColor="background1" w:themeShade="80"/>
          <w:sz w:val="22"/>
          <w:szCs w:val="22"/>
        </w:rPr>
        <w:t>AIPD</w:t>
      </w:r>
      <w:r w:rsidRPr="00282DB8">
        <w:rPr>
          <w:rFonts w:ascii="Trebuchet MS" w:hAnsi="Trebuchet MS"/>
          <w:b/>
          <w:color w:val="808080" w:themeColor="background1" w:themeShade="80"/>
          <w:sz w:val="22"/>
          <w:szCs w:val="22"/>
        </w:rPr>
        <w:t>?</w:t>
      </w:r>
    </w:p>
    <w:p w:rsidR="00D21F5D" w:rsidRPr="00282DB8" w:rsidRDefault="00D21F5D" w:rsidP="00A8383A">
      <w:pPr>
        <w:jc w:val="both"/>
        <w:rPr>
          <w:rFonts w:ascii="Trebuchet MS" w:hAnsi="Trebuchet MS"/>
        </w:rPr>
      </w:pPr>
      <w:r w:rsidRPr="00282DB8">
        <w:rPr>
          <w:rFonts w:ascii="Trebuchet MS" w:hAnsi="Trebuchet MS"/>
        </w:rPr>
        <w:t xml:space="preserve">Um compromisso de </w:t>
      </w:r>
      <w:r w:rsidR="000274D6" w:rsidRPr="00282DB8">
        <w:rPr>
          <w:rFonts w:ascii="Trebuchet MS" w:hAnsi="Trebuchet MS"/>
        </w:rPr>
        <w:t>AIPD</w:t>
      </w:r>
      <w:r w:rsidRPr="00282DB8">
        <w:rPr>
          <w:rFonts w:ascii="Trebuchet MS" w:hAnsi="Trebuchet MS"/>
        </w:rPr>
        <w:t xml:space="preserve"> pode variar dependendo da natureza e complexidade das operações de tratamento. O processo envolve normalmente vários </w:t>
      </w:r>
      <w:r w:rsidR="000274D6" w:rsidRPr="00282DB8">
        <w:rPr>
          <w:rFonts w:ascii="Trebuchet MS" w:hAnsi="Trebuchet MS"/>
        </w:rPr>
        <w:t>intervenientes cruciais</w:t>
      </w:r>
      <w:r w:rsidRPr="00282DB8">
        <w:rPr>
          <w:rFonts w:ascii="Trebuchet MS" w:hAnsi="Trebuchet MS"/>
        </w:rPr>
        <w:t xml:space="preserve"> dentro da empresa e é supervisionado por um “responsável interno” – o atual </w:t>
      </w:r>
      <w:r w:rsidR="00682060">
        <w:rPr>
          <w:rFonts w:ascii="Trebuchet MS" w:hAnsi="Trebuchet MS"/>
        </w:rPr>
        <w:t xml:space="preserve">DPO ou </w:t>
      </w:r>
      <w:r w:rsidR="000274D6" w:rsidRPr="00282DB8">
        <w:rPr>
          <w:rFonts w:ascii="Trebuchet MS" w:hAnsi="Trebuchet MS"/>
        </w:rPr>
        <w:t>EPD</w:t>
      </w:r>
      <w:r w:rsidRPr="00282DB8">
        <w:rPr>
          <w:rFonts w:ascii="Trebuchet MS" w:hAnsi="Trebuchet MS"/>
        </w:rPr>
        <w:t xml:space="preserve"> (Encarregado da Proteção de Dados) ou alguém que desempenha esta função a meio-termo. Antes de se dar início à </w:t>
      </w:r>
      <w:r w:rsidR="000274D6" w:rsidRPr="00282DB8">
        <w:rPr>
          <w:rFonts w:ascii="Trebuchet MS" w:hAnsi="Trebuchet MS"/>
        </w:rPr>
        <w:t>avaliação de impacto de risco</w:t>
      </w:r>
      <w:r w:rsidRPr="00282DB8">
        <w:rPr>
          <w:rFonts w:ascii="Trebuchet MS" w:hAnsi="Trebuchet MS"/>
        </w:rPr>
        <w:t>, devem ser tidas em conta as seguintes condições e medidas, aquando da determinação de conformidade e prática do processo:</w:t>
      </w:r>
    </w:p>
    <w:p w:rsidR="00D21F5D" w:rsidRPr="00282DB8" w:rsidRDefault="000274D6" w:rsidP="00A8383A">
      <w:pPr>
        <w:jc w:val="both"/>
        <w:rPr>
          <w:rFonts w:ascii="Trebuchet MS" w:hAnsi="Trebuchet MS"/>
        </w:rPr>
      </w:pPr>
      <w:r w:rsidRPr="00282DB8">
        <w:rPr>
          <w:rFonts w:ascii="Trebuchet MS" w:hAnsi="Trebuchet MS"/>
        </w:rPr>
        <w:t>1) Sempre que</w:t>
      </w:r>
      <w:r w:rsidR="00D21F5D" w:rsidRPr="00282DB8">
        <w:rPr>
          <w:rFonts w:ascii="Trebuchet MS" w:hAnsi="Trebuchet MS"/>
        </w:rPr>
        <w:t xml:space="preserve"> o tratamento é suscetível de atribuir risco aos dados</w:t>
      </w:r>
    </w:p>
    <w:p w:rsidR="00D21F5D" w:rsidRPr="00282DB8" w:rsidRDefault="000274D6" w:rsidP="00A8383A">
      <w:pPr>
        <w:jc w:val="both"/>
        <w:rPr>
          <w:rFonts w:ascii="Trebuchet MS" w:hAnsi="Trebuchet MS"/>
        </w:rPr>
      </w:pPr>
      <w:r w:rsidRPr="00282DB8">
        <w:rPr>
          <w:rFonts w:ascii="Trebuchet MS" w:hAnsi="Trebuchet MS"/>
        </w:rPr>
        <w:t>2)</w:t>
      </w:r>
      <w:r w:rsidR="00D21F5D" w:rsidRPr="00282DB8">
        <w:rPr>
          <w:rFonts w:ascii="Trebuchet MS" w:hAnsi="Trebuchet MS"/>
        </w:rPr>
        <w:t xml:space="preserve"> Envolvimento do </w:t>
      </w:r>
      <w:r w:rsidR="00682060">
        <w:rPr>
          <w:rFonts w:ascii="Trebuchet MS" w:hAnsi="Trebuchet MS"/>
        </w:rPr>
        <w:t>DPO</w:t>
      </w:r>
    </w:p>
    <w:p w:rsidR="00D21F5D" w:rsidRPr="00282DB8" w:rsidRDefault="000274D6" w:rsidP="00A8383A">
      <w:pPr>
        <w:jc w:val="both"/>
        <w:rPr>
          <w:rFonts w:ascii="Trebuchet MS" w:hAnsi="Trebuchet MS"/>
        </w:rPr>
      </w:pPr>
      <w:r w:rsidRPr="00282DB8">
        <w:rPr>
          <w:rFonts w:ascii="Trebuchet MS" w:hAnsi="Trebuchet MS"/>
        </w:rPr>
        <w:t>3)</w:t>
      </w:r>
      <w:r w:rsidR="00D21F5D" w:rsidRPr="00282DB8">
        <w:rPr>
          <w:rFonts w:ascii="Trebuchet MS" w:hAnsi="Trebuchet MS"/>
        </w:rPr>
        <w:t xml:space="preserve"> </w:t>
      </w:r>
      <w:r w:rsidR="00184524" w:rsidRPr="00282DB8">
        <w:rPr>
          <w:rFonts w:ascii="Trebuchet MS" w:hAnsi="Trebuchet MS"/>
        </w:rPr>
        <w:t>Avaliação sistemática do tratamento proposto</w:t>
      </w:r>
    </w:p>
    <w:p w:rsidR="00184524" w:rsidRPr="00282DB8" w:rsidRDefault="000274D6" w:rsidP="00A8383A">
      <w:pPr>
        <w:jc w:val="both"/>
        <w:rPr>
          <w:rFonts w:ascii="Trebuchet MS" w:hAnsi="Trebuchet MS"/>
        </w:rPr>
      </w:pPr>
      <w:r w:rsidRPr="00282DB8">
        <w:rPr>
          <w:rFonts w:ascii="Trebuchet MS" w:hAnsi="Trebuchet MS"/>
        </w:rPr>
        <w:t>4)</w:t>
      </w:r>
      <w:r w:rsidR="00184524" w:rsidRPr="00282DB8">
        <w:rPr>
          <w:rFonts w:ascii="Trebuchet MS" w:hAnsi="Trebuchet MS"/>
        </w:rPr>
        <w:t xml:space="preserve"> Identificação do risco</w:t>
      </w:r>
    </w:p>
    <w:p w:rsidR="00184524" w:rsidRPr="00282DB8" w:rsidRDefault="000274D6" w:rsidP="00A8383A">
      <w:pPr>
        <w:jc w:val="both"/>
        <w:rPr>
          <w:rFonts w:ascii="Trebuchet MS" w:hAnsi="Trebuchet MS"/>
        </w:rPr>
      </w:pPr>
      <w:r w:rsidRPr="00282DB8">
        <w:rPr>
          <w:rFonts w:ascii="Trebuchet MS" w:hAnsi="Trebuchet MS"/>
        </w:rPr>
        <w:t>5)</w:t>
      </w:r>
      <w:r w:rsidR="00184524" w:rsidRPr="00282DB8">
        <w:rPr>
          <w:rFonts w:ascii="Trebuchet MS" w:hAnsi="Trebuchet MS"/>
        </w:rPr>
        <w:t xml:space="preserve"> Resumo das medidas a tomar para reduzir esses riscos</w:t>
      </w:r>
    </w:p>
    <w:p w:rsidR="00184524" w:rsidRPr="00282DB8" w:rsidRDefault="000274D6" w:rsidP="00A8383A">
      <w:pPr>
        <w:jc w:val="both"/>
        <w:rPr>
          <w:rFonts w:ascii="Trebuchet MS" w:hAnsi="Trebuchet MS"/>
        </w:rPr>
      </w:pPr>
      <w:r w:rsidRPr="00282DB8">
        <w:rPr>
          <w:rFonts w:ascii="Trebuchet MS" w:hAnsi="Trebuchet MS"/>
        </w:rPr>
        <w:t>6)</w:t>
      </w:r>
      <w:r w:rsidR="00184524" w:rsidRPr="00282DB8">
        <w:rPr>
          <w:rFonts w:ascii="Trebuchet MS" w:hAnsi="Trebuchet MS"/>
        </w:rPr>
        <w:t xml:space="preserve"> Resumo de estruturas e medidas planeadas para alcançar o consentimento</w:t>
      </w:r>
    </w:p>
    <w:p w:rsidR="000274D6" w:rsidRPr="00282DB8" w:rsidRDefault="000274D6" w:rsidP="00A8383A">
      <w:pPr>
        <w:jc w:val="both"/>
        <w:rPr>
          <w:rFonts w:ascii="Trebuchet MS" w:hAnsi="Trebuchet MS"/>
        </w:rPr>
      </w:pPr>
      <w:r w:rsidRPr="00282DB8">
        <w:rPr>
          <w:rFonts w:ascii="Trebuchet MS" w:hAnsi="Trebuchet MS"/>
        </w:rPr>
        <w:t>7)</w:t>
      </w:r>
      <w:r w:rsidR="00184524" w:rsidRPr="00282DB8">
        <w:rPr>
          <w:rFonts w:ascii="Trebuchet MS" w:hAnsi="Trebuchet MS"/>
        </w:rPr>
        <w:t xml:space="preserve"> </w:t>
      </w:r>
      <w:r w:rsidRPr="00282DB8">
        <w:rPr>
          <w:rFonts w:ascii="Trebuchet MS" w:hAnsi="Trebuchet MS"/>
        </w:rPr>
        <w:t>Sempre que</w:t>
      </w:r>
      <w:r w:rsidR="00184524" w:rsidRPr="00282DB8">
        <w:rPr>
          <w:rFonts w:ascii="Trebuchet MS" w:hAnsi="Trebuchet MS"/>
        </w:rPr>
        <w:t xml:space="preserve"> é identificado o risco substancial, o responsável pelo tratamento dos dados deve confirma</w:t>
      </w:r>
      <w:r w:rsidRPr="00282DB8">
        <w:rPr>
          <w:rFonts w:ascii="Trebuchet MS" w:hAnsi="Trebuchet MS"/>
        </w:rPr>
        <w:t>r com a autoridade de controlo.</w:t>
      </w:r>
    </w:p>
    <w:p w:rsidR="00184524" w:rsidRPr="00282DB8" w:rsidRDefault="00184524" w:rsidP="00A8383A">
      <w:pPr>
        <w:jc w:val="both"/>
        <w:rPr>
          <w:rFonts w:ascii="Trebuchet MS" w:hAnsi="Trebuchet MS"/>
        </w:rPr>
      </w:pPr>
      <w:r w:rsidRPr="00282DB8">
        <w:rPr>
          <w:rFonts w:ascii="Trebuchet MS" w:hAnsi="Trebuchet MS"/>
        </w:rPr>
        <w:t>De modo a estabelecer:</w:t>
      </w:r>
    </w:p>
    <w:p w:rsidR="00184524" w:rsidRPr="00282DB8" w:rsidRDefault="00184524" w:rsidP="00A8383A">
      <w:pPr>
        <w:pStyle w:val="PargrafodaLista"/>
        <w:numPr>
          <w:ilvl w:val="0"/>
          <w:numId w:val="1"/>
        </w:numPr>
        <w:jc w:val="both"/>
        <w:rPr>
          <w:rFonts w:ascii="Trebuchet MS" w:hAnsi="Trebuchet MS"/>
        </w:rPr>
      </w:pPr>
      <w:r w:rsidRPr="00282DB8">
        <w:rPr>
          <w:rFonts w:ascii="Trebuchet MS" w:hAnsi="Trebuchet MS"/>
        </w:rPr>
        <w:t>Proveniência dos dados</w:t>
      </w:r>
    </w:p>
    <w:p w:rsidR="00184524" w:rsidRPr="00282DB8" w:rsidRDefault="00184524" w:rsidP="00A8383A">
      <w:pPr>
        <w:pStyle w:val="PargrafodaLista"/>
        <w:numPr>
          <w:ilvl w:val="0"/>
          <w:numId w:val="1"/>
        </w:numPr>
        <w:jc w:val="both"/>
        <w:rPr>
          <w:rFonts w:ascii="Trebuchet MS" w:hAnsi="Trebuchet MS"/>
        </w:rPr>
      </w:pPr>
      <w:r w:rsidRPr="00282DB8">
        <w:rPr>
          <w:rFonts w:ascii="Trebuchet MS" w:hAnsi="Trebuchet MS"/>
        </w:rPr>
        <w:t>Meio de tratamento envolvido</w:t>
      </w:r>
    </w:p>
    <w:p w:rsidR="00184524" w:rsidRPr="00282DB8" w:rsidRDefault="00184524" w:rsidP="00A8383A">
      <w:pPr>
        <w:pStyle w:val="PargrafodaLista"/>
        <w:numPr>
          <w:ilvl w:val="0"/>
          <w:numId w:val="1"/>
        </w:numPr>
        <w:jc w:val="both"/>
        <w:rPr>
          <w:rFonts w:ascii="Trebuchet MS" w:hAnsi="Trebuchet MS"/>
        </w:rPr>
      </w:pPr>
      <w:r w:rsidRPr="00282DB8">
        <w:rPr>
          <w:rFonts w:ascii="Trebuchet MS" w:hAnsi="Trebuchet MS"/>
        </w:rPr>
        <w:t>Localização do tratamento</w:t>
      </w:r>
    </w:p>
    <w:p w:rsidR="00184524" w:rsidRPr="00282DB8" w:rsidRDefault="000274D6" w:rsidP="00A8383A">
      <w:pPr>
        <w:pStyle w:val="PargrafodaLista"/>
        <w:numPr>
          <w:ilvl w:val="0"/>
          <w:numId w:val="1"/>
        </w:numPr>
        <w:jc w:val="both"/>
        <w:rPr>
          <w:rFonts w:ascii="Trebuchet MS" w:hAnsi="Trebuchet MS"/>
        </w:rPr>
      </w:pPr>
      <w:r w:rsidRPr="00282DB8">
        <w:rPr>
          <w:rFonts w:ascii="Trebuchet MS" w:hAnsi="Trebuchet MS"/>
        </w:rPr>
        <w:t>Intervenientes</w:t>
      </w:r>
      <w:r w:rsidR="00184524" w:rsidRPr="00282DB8">
        <w:rPr>
          <w:rFonts w:ascii="Trebuchet MS" w:hAnsi="Trebuchet MS"/>
        </w:rPr>
        <w:t xml:space="preserve"> relevantes</w:t>
      </w:r>
    </w:p>
    <w:p w:rsidR="00184524" w:rsidRDefault="00184524" w:rsidP="00A8383A">
      <w:pPr>
        <w:pStyle w:val="PargrafodaLista"/>
        <w:numPr>
          <w:ilvl w:val="0"/>
          <w:numId w:val="1"/>
        </w:numPr>
        <w:jc w:val="both"/>
        <w:rPr>
          <w:rFonts w:ascii="Trebuchet MS" w:hAnsi="Trebuchet MS"/>
        </w:rPr>
      </w:pPr>
      <w:r w:rsidRPr="00282DB8">
        <w:rPr>
          <w:rFonts w:ascii="Trebuchet MS" w:hAnsi="Trebuchet MS"/>
        </w:rPr>
        <w:t>Processo de eliminação/anonimização</w:t>
      </w:r>
    </w:p>
    <w:p w:rsidR="00415D0D" w:rsidRDefault="00415D0D" w:rsidP="00415D0D">
      <w:pPr>
        <w:jc w:val="both"/>
        <w:rPr>
          <w:rFonts w:ascii="Trebuchet MS" w:hAnsi="Trebuchet MS"/>
        </w:rPr>
      </w:pPr>
    </w:p>
    <w:p w:rsidR="00415D0D" w:rsidRPr="00415D0D" w:rsidRDefault="00415D0D" w:rsidP="00415D0D">
      <w:pPr>
        <w:jc w:val="both"/>
        <w:rPr>
          <w:rFonts w:ascii="Trebuchet MS" w:hAnsi="Trebuchet MS"/>
        </w:rPr>
      </w:pPr>
    </w:p>
    <w:p w:rsidR="00184524" w:rsidRPr="00282DB8" w:rsidRDefault="00184524" w:rsidP="00A8383A">
      <w:pPr>
        <w:jc w:val="both"/>
        <w:rPr>
          <w:rFonts w:ascii="Trebuchet MS" w:hAnsi="Trebuchet MS"/>
        </w:rPr>
      </w:pPr>
      <w:r w:rsidRPr="00282DB8">
        <w:rPr>
          <w:rFonts w:ascii="Trebuchet MS" w:hAnsi="Trebuchet MS"/>
        </w:rPr>
        <w:lastRenderedPageBreak/>
        <w:t>É levado a cabo um processo de 6 passos:</w:t>
      </w:r>
    </w:p>
    <w:p w:rsidR="00184524" w:rsidRPr="00282DB8" w:rsidRDefault="000274D6" w:rsidP="00A8383A">
      <w:pPr>
        <w:pStyle w:val="PargrafodaLista"/>
        <w:numPr>
          <w:ilvl w:val="0"/>
          <w:numId w:val="2"/>
        </w:numPr>
        <w:jc w:val="both"/>
        <w:rPr>
          <w:rFonts w:ascii="Trebuchet MS" w:hAnsi="Trebuchet MS"/>
        </w:rPr>
      </w:pPr>
      <w:r w:rsidRPr="00282DB8">
        <w:rPr>
          <w:rFonts w:ascii="Trebuchet MS" w:hAnsi="Trebuchet MS"/>
        </w:rPr>
        <w:t>Criação de uma listagem</w:t>
      </w:r>
      <w:r w:rsidR="00184524" w:rsidRPr="00282DB8">
        <w:rPr>
          <w:rFonts w:ascii="Trebuchet MS" w:hAnsi="Trebuchet MS"/>
        </w:rPr>
        <w:t xml:space="preserve"> completa de todos os </w:t>
      </w:r>
      <w:r w:rsidRPr="00282DB8">
        <w:rPr>
          <w:rFonts w:ascii="Trebuchet MS" w:hAnsi="Trebuchet MS"/>
        </w:rPr>
        <w:t>intervenientes</w:t>
      </w:r>
      <w:r w:rsidR="00184524" w:rsidRPr="00282DB8">
        <w:rPr>
          <w:rFonts w:ascii="Trebuchet MS" w:hAnsi="Trebuchet MS"/>
        </w:rPr>
        <w:t>, entidades e sistema</w:t>
      </w:r>
      <w:r w:rsidRPr="00282DB8">
        <w:rPr>
          <w:rFonts w:ascii="Trebuchet MS" w:hAnsi="Trebuchet MS"/>
        </w:rPr>
        <w:t>s</w:t>
      </w:r>
      <w:r w:rsidR="00184524" w:rsidRPr="00282DB8">
        <w:rPr>
          <w:rFonts w:ascii="Trebuchet MS" w:hAnsi="Trebuchet MS"/>
        </w:rPr>
        <w:t xml:space="preserve"> relevantes na empresa.</w:t>
      </w:r>
    </w:p>
    <w:p w:rsidR="00184524" w:rsidRPr="00282DB8" w:rsidRDefault="000274D6" w:rsidP="00A8383A">
      <w:pPr>
        <w:pStyle w:val="PargrafodaLista"/>
        <w:numPr>
          <w:ilvl w:val="0"/>
          <w:numId w:val="2"/>
        </w:numPr>
        <w:jc w:val="both"/>
        <w:rPr>
          <w:rFonts w:ascii="Trebuchet MS" w:hAnsi="Trebuchet MS"/>
        </w:rPr>
      </w:pPr>
      <w:r w:rsidRPr="00282DB8">
        <w:rPr>
          <w:rFonts w:ascii="Trebuchet MS" w:hAnsi="Trebuchet MS"/>
        </w:rPr>
        <w:t>Criação de uma listagem</w:t>
      </w:r>
      <w:r w:rsidR="00184524" w:rsidRPr="00282DB8">
        <w:rPr>
          <w:rFonts w:ascii="Trebuchet MS" w:hAnsi="Trebuchet MS"/>
        </w:rPr>
        <w:t xml:space="preserve"> completa de processos de gestão de dados.</w:t>
      </w:r>
    </w:p>
    <w:p w:rsidR="00184524" w:rsidRPr="00282DB8" w:rsidRDefault="00184524" w:rsidP="00A8383A">
      <w:pPr>
        <w:pStyle w:val="PargrafodaLista"/>
        <w:numPr>
          <w:ilvl w:val="0"/>
          <w:numId w:val="2"/>
        </w:numPr>
        <w:jc w:val="both"/>
        <w:rPr>
          <w:rFonts w:ascii="Trebuchet MS" w:hAnsi="Trebuchet MS"/>
        </w:rPr>
      </w:pPr>
      <w:r w:rsidRPr="00282DB8">
        <w:rPr>
          <w:rFonts w:ascii="Trebuchet MS" w:hAnsi="Trebuchet MS"/>
        </w:rPr>
        <w:t xml:space="preserve">Definição do fluxo de dados </w:t>
      </w:r>
      <w:r w:rsidR="000274D6" w:rsidRPr="00282DB8">
        <w:rPr>
          <w:rFonts w:ascii="Trebuchet MS" w:hAnsi="Trebuchet MS"/>
        </w:rPr>
        <w:t>que entram e saem da</w:t>
      </w:r>
      <w:r w:rsidRPr="00282DB8">
        <w:rPr>
          <w:rFonts w:ascii="Trebuchet MS" w:hAnsi="Trebuchet MS"/>
        </w:rPr>
        <w:t xml:space="preserve"> empresa, tendo em conta os processos referidos no ponto anterior.</w:t>
      </w:r>
    </w:p>
    <w:p w:rsidR="00184524" w:rsidRPr="00282DB8" w:rsidRDefault="00184524" w:rsidP="00A8383A">
      <w:pPr>
        <w:pStyle w:val="PargrafodaLista"/>
        <w:numPr>
          <w:ilvl w:val="0"/>
          <w:numId w:val="2"/>
        </w:numPr>
        <w:jc w:val="both"/>
        <w:rPr>
          <w:rFonts w:ascii="Trebuchet MS" w:hAnsi="Trebuchet MS"/>
        </w:rPr>
      </w:pPr>
      <w:r w:rsidRPr="00282DB8">
        <w:rPr>
          <w:rFonts w:ascii="Trebuchet MS" w:hAnsi="Trebuchet MS"/>
        </w:rPr>
        <w:t>Para cada processo identificado no ponto anterior, o tratamento é categorizado de acordo com a atual e futura legislação sobre a Proteção de Dados, áreas de consideração e avaliação de potencial risco.</w:t>
      </w:r>
    </w:p>
    <w:p w:rsidR="00184524" w:rsidRPr="00282DB8" w:rsidRDefault="00184524" w:rsidP="00A8383A">
      <w:pPr>
        <w:pStyle w:val="PargrafodaLista"/>
        <w:numPr>
          <w:ilvl w:val="0"/>
          <w:numId w:val="2"/>
        </w:numPr>
        <w:jc w:val="both"/>
        <w:rPr>
          <w:rFonts w:ascii="Trebuchet MS" w:hAnsi="Trebuchet MS"/>
        </w:rPr>
      </w:pPr>
      <w:r w:rsidRPr="00282DB8">
        <w:rPr>
          <w:rFonts w:ascii="Trebuchet MS" w:hAnsi="Trebuchet MS"/>
        </w:rPr>
        <w:t>Criar um registo de risco</w:t>
      </w:r>
      <w:r w:rsidR="0094697D" w:rsidRPr="00282DB8">
        <w:rPr>
          <w:rStyle w:val="Refdenotaderodap"/>
          <w:rFonts w:ascii="Trebuchet MS" w:hAnsi="Trebuchet MS"/>
        </w:rPr>
        <w:footnoteReference w:id="1"/>
      </w:r>
      <w:r w:rsidRPr="00282DB8">
        <w:rPr>
          <w:rFonts w:ascii="Trebuchet MS" w:hAnsi="Trebuchet MS"/>
        </w:rPr>
        <w:t xml:space="preserve"> em paralelo com o ponto anterior </w:t>
      </w:r>
      <w:r w:rsidR="003B6722" w:rsidRPr="00282DB8">
        <w:rPr>
          <w:rFonts w:ascii="Trebuchet MS" w:hAnsi="Trebuchet MS"/>
        </w:rPr>
        <w:t>de modo a</w:t>
      </w:r>
      <w:r w:rsidRPr="00282DB8">
        <w:rPr>
          <w:rFonts w:ascii="Trebuchet MS" w:hAnsi="Trebuchet MS"/>
        </w:rPr>
        <w:t xml:space="preserve"> medir </w:t>
      </w:r>
      <w:r w:rsidR="003B6722" w:rsidRPr="00282DB8">
        <w:rPr>
          <w:rFonts w:ascii="Trebuchet MS" w:hAnsi="Trebuchet MS"/>
        </w:rPr>
        <w:t>a probabilidade e gravidade do risco.</w:t>
      </w:r>
    </w:p>
    <w:p w:rsidR="00BA4F83" w:rsidRPr="00415D0D" w:rsidRDefault="00184524" w:rsidP="00BA4F83">
      <w:pPr>
        <w:pStyle w:val="PargrafodaLista"/>
        <w:numPr>
          <w:ilvl w:val="0"/>
          <w:numId w:val="2"/>
        </w:numPr>
        <w:jc w:val="both"/>
        <w:rPr>
          <w:rFonts w:ascii="Trebuchet MS" w:hAnsi="Trebuchet MS"/>
        </w:rPr>
      </w:pPr>
      <w:r w:rsidRPr="00282DB8">
        <w:rPr>
          <w:rFonts w:ascii="Trebuchet MS" w:hAnsi="Trebuchet MS"/>
        </w:rPr>
        <w:t>Forma</w:t>
      </w:r>
      <w:r w:rsidR="0094697D" w:rsidRPr="00282DB8">
        <w:rPr>
          <w:rFonts w:ascii="Trebuchet MS" w:hAnsi="Trebuchet MS"/>
        </w:rPr>
        <w:t xml:space="preserve">lizar um plano de implementação, ou seja, </w:t>
      </w:r>
      <w:r w:rsidR="003B6722" w:rsidRPr="00282DB8">
        <w:rPr>
          <w:rFonts w:ascii="Trebuchet MS" w:hAnsi="Trebuchet MS"/>
        </w:rPr>
        <w:t>geração de um relatório por parte da AIPD</w:t>
      </w:r>
      <w:r w:rsidR="0094697D" w:rsidRPr="00282DB8">
        <w:rPr>
          <w:rFonts w:ascii="Trebuchet MS" w:hAnsi="Trebuchet MS"/>
        </w:rPr>
        <w:t xml:space="preserve"> que identifica as áreas de elevado risco e fornece recomendações específicas de como resolver cada risco. Para além disso, sempre que possível, são feitas recomendações práticas de como é que a empresa poderá melhorar a conformidade de acordo com a legislação de proteção de dados nacional.</w:t>
      </w:r>
    </w:p>
    <w:p w:rsidR="001612C1" w:rsidRPr="00282DB8" w:rsidRDefault="00BA4F83" w:rsidP="00415D0D">
      <w:pPr>
        <w:jc w:val="both"/>
        <w:rPr>
          <w:rFonts w:ascii="Trebuchet MS" w:hAnsi="Trebuchet MS"/>
        </w:rPr>
      </w:pPr>
      <w:r w:rsidRPr="00282DB8">
        <w:rPr>
          <w:rFonts w:ascii="Trebuchet MS" w:hAnsi="Trebuchet MS"/>
        </w:rPr>
        <w:t>Para o ajudar a compreender melhor o processo da Avaliação do Impacto da Proteção de Dados, abaixo encontra um gráfico com os pontos principais que constituem o mesmo.</w:t>
      </w:r>
    </w:p>
    <w:p w:rsidR="003B6722" w:rsidRPr="00B05AE4" w:rsidRDefault="00BA4F83" w:rsidP="00A8383A">
      <w:pPr>
        <w:jc w:val="both"/>
      </w:pPr>
      <w:r>
        <w:rPr>
          <w:noProof/>
          <w:lang w:eastAsia="pt-PT"/>
        </w:rPr>
        <w:drawing>
          <wp:inline distT="0" distB="0" distL="0" distR="0">
            <wp:extent cx="5400040" cy="396679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3B6722" w:rsidRPr="00B05AE4">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36B" w:rsidRDefault="005F536B" w:rsidP="0094697D">
      <w:pPr>
        <w:spacing w:after="0" w:line="240" w:lineRule="auto"/>
      </w:pPr>
      <w:r>
        <w:separator/>
      </w:r>
    </w:p>
  </w:endnote>
  <w:endnote w:type="continuationSeparator" w:id="0">
    <w:p w:rsidR="005F536B" w:rsidRDefault="005F536B" w:rsidP="0094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00"/>
    <w:family w:val="swiss"/>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060" w:rsidRDefault="00682060">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D319E">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D319E">
      <w:rPr>
        <w:noProof/>
        <w:color w:val="323E4F" w:themeColor="text2" w:themeShade="BF"/>
        <w:sz w:val="24"/>
        <w:szCs w:val="24"/>
      </w:rPr>
      <w:t>3</w:t>
    </w:r>
    <w:r>
      <w:rPr>
        <w:color w:val="323E4F" w:themeColor="text2" w:themeShade="BF"/>
        <w:sz w:val="24"/>
        <w:szCs w:val="24"/>
      </w:rPr>
      <w:fldChar w:fldCharType="end"/>
    </w:r>
  </w:p>
  <w:p w:rsidR="00FD319E" w:rsidRPr="00E84CE1" w:rsidRDefault="00FD319E" w:rsidP="00FD319E">
    <w:pPr>
      <w:tabs>
        <w:tab w:val="center" w:pos="4550"/>
        <w:tab w:val="left" w:pos="5818"/>
        <w:tab w:val="right" w:pos="8244"/>
      </w:tabs>
      <w:ind w:right="260"/>
      <w:rPr>
        <w:rFonts w:ascii="Arial" w:hAnsi="Arial" w:cs="Arial"/>
        <w:color w:val="333333"/>
        <w:sz w:val="10"/>
        <w:szCs w:val="10"/>
        <w:shd w:val="clear" w:color="auto" w:fill="FFFFFF"/>
      </w:rPr>
    </w:pPr>
    <w:r w:rsidRPr="00E84CE1">
      <w:rPr>
        <w:rFonts w:ascii="Arial" w:hAnsi="Arial" w:cs="Arial"/>
        <w:color w:val="333333"/>
        <w:sz w:val="10"/>
        <w:szCs w:val="10"/>
        <w:shd w:val="clear" w:color="auto" w:fill="FFFFFF"/>
      </w:rPr>
      <w:t>O conteúdo desta página está protegido pelos direitos de autor e demais direitos de propriedade intelectual. Enquanto nosso cliente, poderá personalizar o conteúdo para uso próprio no cumprimento do RGPD. Após cessação de relações comerciais com a ARTSOFT, q</w:t>
    </w:r>
    <w:r w:rsidRPr="00E84CE1">
      <w:rPr>
        <w:rFonts w:ascii="PT Sans" w:hAnsi="PT Sans"/>
        <w:color w:val="313131"/>
        <w:sz w:val="10"/>
        <w:szCs w:val="10"/>
        <w:shd w:val="clear" w:color="auto" w:fill="FFFFFF"/>
      </w:rPr>
      <w:t xml:space="preserve">ualquer reprodução, difusão, total ou parcial, é ilícita e deverá este conteúdo, ser eliminado. </w:t>
    </w:r>
  </w:p>
  <w:p w:rsidR="00682060" w:rsidRDefault="00682060">
    <w:pPr>
      <w:tabs>
        <w:tab w:val="center" w:pos="4550"/>
        <w:tab w:val="left" w:pos="5818"/>
      </w:tabs>
      <w:ind w:right="260"/>
      <w:jc w:val="right"/>
      <w:rPr>
        <w:color w:val="222A35" w:themeColor="text2" w:themeShade="80"/>
        <w:sz w:val="24"/>
        <w:szCs w:val="24"/>
      </w:rPr>
    </w:pPr>
  </w:p>
  <w:p w:rsidR="00682060" w:rsidRDefault="006820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36B" w:rsidRDefault="005F536B" w:rsidP="0094697D">
      <w:pPr>
        <w:spacing w:after="0" w:line="240" w:lineRule="auto"/>
      </w:pPr>
      <w:r>
        <w:separator/>
      </w:r>
    </w:p>
  </w:footnote>
  <w:footnote w:type="continuationSeparator" w:id="0">
    <w:p w:rsidR="005F536B" w:rsidRDefault="005F536B" w:rsidP="0094697D">
      <w:pPr>
        <w:spacing w:after="0" w:line="240" w:lineRule="auto"/>
      </w:pPr>
      <w:r>
        <w:continuationSeparator/>
      </w:r>
    </w:p>
  </w:footnote>
  <w:footnote w:id="1">
    <w:p w:rsidR="0094697D" w:rsidRPr="00282DB8" w:rsidRDefault="0094697D">
      <w:pPr>
        <w:pStyle w:val="Textodenotaderodap"/>
        <w:rPr>
          <w:rFonts w:ascii="Trebuchet MS" w:hAnsi="Trebuchet MS"/>
        </w:rPr>
      </w:pPr>
      <w:r w:rsidRPr="00282DB8">
        <w:rPr>
          <w:rStyle w:val="Refdenotaderodap"/>
          <w:rFonts w:ascii="Trebuchet MS" w:hAnsi="Trebuchet MS"/>
        </w:rPr>
        <w:footnoteRef/>
      </w:r>
      <w:r w:rsidRPr="00282DB8">
        <w:rPr>
          <w:rFonts w:ascii="Trebuchet MS" w:hAnsi="Trebuchet MS"/>
        </w:rPr>
        <w:t xml:space="preserve"> O registo de risco é produzido pela </w:t>
      </w:r>
      <w:r w:rsidR="003B6722" w:rsidRPr="00282DB8">
        <w:rPr>
          <w:rFonts w:ascii="Trebuchet MS" w:hAnsi="Trebuchet MS"/>
        </w:rPr>
        <w:t>AIPD</w:t>
      </w:r>
      <w:r w:rsidRPr="00282DB8">
        <w:rPr>
          <w:rFonts w:ascii="Trebuchet MS" w:hAnsi="Trebuchet MS"/>
        </w:rPr>
        <w:t xml:space="preserve"> e inclui: detalhes específicos sobre o risco, recomendações, próximos passos, ações até à data e a avaliação do risco em 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E0CB0"/>
    <w:multiLevelType w:val="hybridMultilevel"/>
    <w:tmpl w:val="7B22655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8C4482C"/>
    <w:multiLevelType w:val="hybridMultilevel"/>
    <w:tmpl w:val="B36E2D3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4"/>
    <w:rsid w:val="000274D6"/>
    <w:rsid w:val="00117BC3"/>
    <w:rsid w:val="001612C1"/>
    <w:rsid w:val="00167803"/>
    <w:rsid w:val="00184524"/>
    <w:rsid w:val="00282DB8"/>
    <w:rsid w:val="002E39BE"/>
    <w:rsid w:val="003B6722"/>
    <w:rsid w:val="003D1FB1"/>
    <w:rsid w:val="003F4EEC"/>
    <w:rsid w:val="00415D0D"/>
    <w:rsid w:val="005F536B"/>
    <w:rsid w:val="00682060"/>
    <w:rsid w:val="006B577F"/>
    <w:rsid w:val="006C67A8"/>
    <w:rsid w:val="0075447F"/>
    <w:rsid w:val="00825824"/>
    <w:rsid w:val="0094697D"/>
    <w:rsid w:val="009B4195"/>
    <w:rsid w:val="00A8383A"/>
    <w:rsid w:val="00B05AE4"/>
    <w:rsid w:val="00BA4F83"/>
    <w:rsid w:val="00D21F5D"/>
    <w:rsid w:val="00D42034"/>
    <w:rsid w:val="00DA088D"/>
    <w:rsid w:val="00E7315F"/>
    <w:rsid w:val="00FB4BB0"/>
    <w:rsid w:val="00FD319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3D6E3-39F2-4CC2-A8F1-AD3D97BD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A838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4524"/>
    <w:pPr>
      <w:ind w:left="720"/>
      <w:contextualSpacing/>
    </w:pPr>
  </w:style>
  <w:style w:type="paragraph" w:styleId="Textodenotaderodap">
    <w:name w:val="footnote text"/>
    <w:basedOn w:val="Normal"/>
    <w:link w:val="TextodenotaderodapCarter"/>
    <w:uiPriority w:val="99"/>
    <w:semiHidden/>
    <w:unhideWhenUsed/>
    <w:rsid w:val="0094697D"/>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4697D"/>
    <w:rPr>
      <w:sz w:val="20"/>
      <w:szCs w:val="20"/>
    </w:rPr>
  </w:style>
  <w:style w:type="character" w:styleId="Refdenotaderodap">
    <w:name w:val="footnote reference"/>
    <w:basedOn w:val="Tipodeletrapredefinidodopargrafo"/>
    <w:uiPriority w:val="99"/>
    <w:semiHidden/>
    <w:unhideWhenUsed/>
    <w:rsid w:val="0094697D"/>
    <w:rPr>
      <w:vertAlign w:val="superscript"/>
    </w:rPr>
  </w:style>
  <w:style w:type="character" w:styleId="nfase">
    <w:name w:val="Emphasis"/>
    <w:basedOn w:val="Tipodeletrapredefinidodopargrafo"/>
    <w:uiPriority w:val="20"/>
    <w:qFormat/>
    <w:rsid w:val="006C67A8"/>
    <w:rPr>
      <w:i/>
      <w:iCs/>
    </w:rPr>
  </w:style>
  <w:style w:type="character" w:customStyle="1" w:styleId="Cabealho1Carter">
    <w:name w:val="Cabeçalho 1 Caráter"/>
    <w:basedOn w:val="Tipodeletrapredefinidodopargrafo"/>
    <w:link w:val="Cabealho1"/>
    <w:uiPriority w:val="9"/>
    <w:rsid w:val="00A8383A"/>
    <w:rPr>
      <w:rFonts w:asciiTheme="majorHAnsi" w:eastAsiaTheme="majorEastAsia" w:hAnsiTheme="majorHAnsi" w:cstheme="majorBidi"/>
      <w:color w:val="2E74B5" w:themeColor="accent1" w:themeShade="BF"/>
      <w:sz w:val="32"/>
      <w:szCs w:val="32"/>
    </w:rPr>
  </w:style>
  <w:style w:type="character" w:styleId="Hiperligao">
    <w:name w:val="Hyperlink"/>
    <w:basedOn w:val="Tipodeletrapredefinidodopargrafo"/>
    <w:uiPriority w:val="99"/>
    <w:unhideWhenUsed/>
    <w:rsid w:val="00282DB8"/>
    <w:rPr>
      <w:color w:val="0563C1" w:themeColor="hyperlink"/>
      <w:u w:val="single"/>
    </w:rPr>
  </w:style>
  <w:style w:type="paragraph" w:styleId="Cabealho">
    <w:name w:val="header"/>
    <w:basedOn w:val="Normal"/>
    <w:link w:val="CabealhoCarter"/>
    <w:uiPriority w:val="99"/>
    <w:unhideWhenUsed/>
    <w:rsid w:val="0068206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82060"/>
  </w:style>
  <w:style w:type="paragraph" w:styleId="Rodap">
    <w:name w:val="footer"/>
    <w:basedOn w:val="Normal"/>
    <w:link w:val="RodapCarter"/>
    <w:uiPriority w:val="99"/>
    <w:unhideWhenUsed/>
    <w:rsid w:val="0068206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82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79CC22-B291-41EF-ADCC-03118D306366}" type="doc">
      <dgm:prSet loTypeId="urn:microsoft.com/office/officeart/2005/8/layout/cycle3" loCatId="cycle" qsTypeId="urn:microsoft.com/office/officeart/2005/8/quickstyle/simple4" qsCatId="simple" csTypeId="urn:microsoft.com/office/officeart/2005/8/colors/accent1_2" csCatId="accent1" phldr="1"/>
      <dgm:spPr/>
      <dgm:t>
        <a:bodyPr/>
        <a:lstStyle/>
        <a:p>
          <a:endParaRPr lang="pt-PT"/>
        </a:p>
      </dgm:t>
    </dgm:pt>
    <dgm:pt modelId="{CE5036BA-255F-4A99-88E8-A64DB06006D2}">
      <dgm:prSet phldrT="[Texto]"/>
      <dgm:spPr/>
      <dgm:t>
        <a:bodyPr/>
        <a:lstStyle/>
        <a:p>
          <a:r>
            <a:rPr lang="pt-PT"/>
            <a:t>AIPD</a:t>
          </a:r>
        </a:p>
      </dgm:t>
    </dgm:pt>
    <dgm:pt modelId="{07D9EE25-98EF-4716-8B7F-70A97A4022ED}" type="parTrans" cxnId="{88E35F42-5B17-4A9A-A541-2B58364E4D57}">
      <dgm:prSet/>
      <dgm:spPr/>
      <dgm:t>
        <a:bodyPr/>
        <a:lstStyle/>
        <a:p>
          <a:endParaRPr lang="pt-PT"/>
        </a:p>
      </dgm:t>
    </dgm:pt>
    <dgm:pt modelId="{13BA67DB-9F67-41AF-A045-6C5F80F7A006}" type="sibTrans" cxnId="{88E35F42-5B17-4A9A-A541-2B58364E4D57}">
      <dgm:prSet/>
      <dgm:spPr/>
      <dgm:t>
        <a:bodyPr/>
        <a:lstStyle/>
        <a:p>
          <a:endParaRPr lang="pt-PT"/>
        </a:p>
      </dgm:t>
    </dgm:pt>
    <dgm:pt modelId="{D2EDBFA0-CAEF-49D4-A47D-50065E366706}">
      <dgm:prSet phldrT="[Texto]"/>
      <dgm:spPr/>
      <dgm:t>
        <a:bodyPr/>
        <a:lstStyle/>
        <a:p>
          <a:r>
            <a:rPr lang="pt-PT"/>
            <a:t>Intervenientes internos e externos</a:t>
          </a:r>
        </a:p>
      </dgm:t>
    </dgm:pt>
    <dgm:pt modelId="{16E3BBB6-583F-42D1-85E6-B7D830A19FF0}" type="parTrans" cxnId="{2A2815B8-560A-46EA-A67C-B62215788B99}">
      <dgm:prSet/>
      <dgm:spPr/>
      <dgm:t>
        <a:bodyPr/>
        <a:lstStyle/>
        <a:p>
          <a:endParaRPr lang="pt-PT"/>
        </a:p>
      </dgm:t>
    </dgm:pt>
    <dgm:pt modelId="{181FBA6F-5CD0-497D-8CA2-7B8A0E4A354E}" type="sibTrans" cxnId="{2A2815B8-560A-46EA-A67C-B62215788B99}">
      <dgm:prSet/>
      <dgm:spPr/>
      <dgm:t>
        <a:bodyPr/>
        <a:lstStyle/>
        <a:p>
          <a:endParaRPr lang="pt-PT"/>
        </a:p>
      </dgm:t>
    </dgm:pt>
    <dgm:pt modelId="{8239B937-11CD-403A-BFF0-D5BF115AD7B5}">
      <dgm:prSet phldrT="[Texto]"/>
      <dgm:spPr/>
      <dgm:t>
        <a:bodyPr/>
        <a:lstStyle/>
        <a:p>
          <a:r>
            <a:rPr lang="pt-PT"/>
            <a:t>Desenvolvimento de recomendações</a:t>
          </a:r>
        </a:p>
      </dgm:t>
    </dgm:pt>
    <dgm:pt modelId="{5D362FDD-0CFB-4C16-A22E-DE0D626FBD12}" type="parTrans" cxnId="{DACD61C2-BCAA-49D2-9C2A-B56A85458F18}">
      <dgm:prSet/>
      <dgm:spPr/>
      <dgm:t>
        <a:bodyPr/>
        <a:lstStyle/>
        <a:p>
          <a:endParaRPr lang="pt-PT"/>
        </a:p>
      </dgm:t>
    </dgm:pt>
    <dgm:pt modelId="{4AB0C5DC-62EB-44F9-979A-F0289600A95A}" type="sibTrans" cxnId="{DACD61C2-BCAA-49D2-9C2A-B56A85458F18}">
      <dgm:prSet/>
      <dgm:spPr/>
      <dgm:t>
        <a:bodyPr/>
        <a:lstStyle/>
        <a:p>
          <a:endParaRPr lang="pt-PT"/>
        </a:p>
      </dgm:t>
    </dgm:pt>
    <dgm:pt modelId="{73C7452B-24DD-441B-859C-A9BD738CD0F9}">
      <dgm:prSet phldrT="[Texto]"/>
      <dgm:spPr/>
      <dgm:t>
        <a:bodyPr/>
        <a:lstStyle/>
        <a:p>
          <a:r>
            <a:rPr lang="pt-PT"/>
            <a:t>Monitorização e adaptação</a:t>
          </a:r>
        </a:p>
      </dgm:t>
    </dgm:pt>
    <dgm:pt modelId="{19BFB3CD-631E-45C9-B960-7C5CEBD27E1D}" type="parTrans" cxnId="{05A448D0-BC1D-4236-9CFE-FBF6ED320748}">
      <dgm:prSet/>
      <dgm:spPr/>
      <dgm:t>
        <a:bodyPr/>
        <a:lstStyle/>
        <a:p>
          <a:endParaRPr lang="pt-PT"/>
        </a:p>
      </dgm:t>
    </dgm:pt>
    <dgm:pt modelId="{ECFE9A4F-23B1-4321-A7DB-5C92FE6FF264}" type="sibTrans" cxnId="{05A448D0-BC1D-4236-9CFE-FBF6ED320748}">
      <dgm:prSet/>
      <dgm:spPr/>
      <dgm:t>
        <a:bodyPr/>
        <a:lstStyle/>
        <a:p>
          <a:endParaRPr lang="pt-PT"/>
        </a:p>
      </dgm:t>
    </dgm:pt>
    <dgm:pt modelId="{2F92FF40-3E2D-43DE-BACE-722152BAC95E}">
      <dgm:prSet phldrT="[Texto]"/>
      <dgm:spPr/>
      <dgm:t>
        <a:bodyPr/>
        <a:lstStyle/>
        <a:p>
          <a:r>
            <a:rPr lang="pt-PT"/>
            <a:t>Identificação dos riscos de privacidade</a:t>
          </a:r>
        </a:p>
      </dgm:t>
    </dgm:pt>
    <dgm:pt modelId="{9ACFE458-13DD-4D45-9668-011279A6523F}" type="sibTrans" cxnId="{5AA71568-FA26-4D87-9734-5B14FC5A3349}">
      <dgm:prSet/>
      <dgm:spPr/>
      <dgm:t>
        <a:bodyPr/>
        <a:lstStyle/>
        <a:p>
          <a:endParaRPr lang="pt-PT"/>
        </a:p>
      </dgm:t>
    </dgm:pt>
    <dgm:pt modelId="{7746C2E7-35E7-43E6-B5E9-0329C19E1F48}" type="parTrans" cxnId="{5AA71568-FA26-4D87-9734-5B14FC5A3349}">
      <dgm:prSet/>
      <dgm:spPr/>
      <dgm:t>
        <a:bodyPr/>
        <a:lstStyle/>
        <a:p>
          <a:endParaRPr lang="pt-PT"/>
        </a:p>
      </dgm:t>
    </dgm:pt>
    <dgm:pt modelId="{88552D31-4033-46F9-9BC9-1CED972A30D8}">
      <dgm:prSet phldrT="[Texto]"/>
      <dgm:spPr/>
      <dgm:t>
        <a:bodyPr/>
        <a:lstStyle/>
        <a:p>
          <a:r>
            <a:rPr lang="pt-PT"/>
            <a:t>Descrição dos fluxos de dados</a:t>
          </a:r>
        </a:p>
      </dgm:t>
    </dgm:pt>
    <dgm:pt modelId="{D1D61AAF-1A21-432C-BE42-A684F818BD6E}" type="parTrans" cxnId="{60F1EB2A-11F7-463E-BBDF-5AF870CC7ABE}">
      <dgm:prSet/>
      <dgm:spPr/>
      <dgm:t>
        <a:bodyPr/>
        <a:lstStyle/>
        <a:p>
          <a:endParaRPr lang="pt-PT"/>
        </a:p>
      </dgm:t>
    </dgm:pt>
    <dgm:pt modelId="{5E45B068-B463-4F52-BFE7-4FB2857C340F}" type="sibTrans" cxnId="{60F1EB2A-11F7-463E-BBDF-5AF870CC7ABE}">
      <dgm:prSet/>
      <dgm:spPr/>
      <dgm:t>
        <a:bodyPr/>
        <a:lstStyle/>
        <a:p>
          <a:endParaRPr lang="pt-PT"/>
        </a:p>
      </dgm:t>
    </dgm:pt>
    <dgm:pt modelId="{B5CF133F-D080-47B4-A6E3-7AB12F2F184A}">
      <dgm:prSet phldrT="[Texto]"/>
      <dgm:spPr/>
      <dgm:t>
        <a:bodyPr/>
        <a:lstStyle/>
        <a:p>
          <a:r>
            <a:rPr lang="pt-PT"/>
            <a:t>Implementação de soluções</a:t>
          </a:r>
        </a:p>
      </dgm:t>
    </dgm:pt>
    <dgm:pt modelId="{E2339018-B053-4C26-888F-835500F508A4}" type="parTrans" cxnId="{A844077C-8103-4935-AB25-BDD7E904396C}">
      <dgm:prSet/>
      <dgm:spPr/>
      <dgm:t>
        <a:bodyPr/>
        <a:lstStyle/>
        <a:p>
          <a:endParaRPr lang="pt-PT"/>
        </a:p>
      </dgm:t>
    </dgm:pt>
    <dgm:pt modelId="{0AD4481C-5781-48D3-A285-1DE62E479FF4}" type="sibTrans" cxnId="{A844077C-8103-4935-AB25-BDD7E904396C}">
      <dgm:prSet/>
      <dgm:spPr/>
      <dgm:t>
        <a:bodyPr/>
        <a:lstStyle/>
        <a:p>
          <a:endParaRPr lang="pt-PT"/>
        </a:p>
      </dgm:t>
    </dgm:pt>
    <dgm:pt modelId="{F6FDCD5D-3349-4504-BB1F-01D76EFFA82A}" type="pres">
      <dgm:prSet presAssocID="{1D79CC22-B291-41EF-ADCC-03118D306366}" presName="Name0" presStyleCnt="0">
        <dgm:presLayoutVars>
          <dgm:dir/>
          <dgm:resizeHandles val="exact"/>
        </dgm:presLayoutVars>
      </dgm:prSet>
      <dgm:spPr/>
      <dgm:t>
        <a:bodyPr/>
        <a:lstStyle/>
        <a:p>
          <a:endParaRPr lang="pt-PT"/>
        </a:p>
      </dgm:t>
    </dgm:pt>
    <dgm:pt modelId="{C0A9CCDE-0FC1-456F-8948-DF59BAE1BC2C}" type="pres">
      <dgm:prSet presAssocID="{1D79CC22-B291-41EF-ADCC-03118D306366}" presName="cycle" presStyleCnt="0"/>
      <dgm:spPr/>
    </dgm:pt>
    <dgm:pt modelId="{34594796-2F52-49F9-838A-5AA56DD89C47}" type="pres">
      <dgm:prSet presAssocID="{CE5036BA-255F-4A99-88E8-A64DB06006D2}" presName="nodeFirstNode" presStyleLbl="node1" presStyleIdx="0" presStyleCnt="7">
        <dgm:presLayoutVars>
          <dgm:bulletEnabled val="1"/>
        </dgm:presLayoutVars>
      </dgm:prSet>
      <dgm:spPr/>
      <dgm:t>
        <a:bodyPr/>
        <a:lstStyle/>
        <a:p>
          <a:endParaRPr lang="pt-PT"/>
        </a:p>
      </dgm:t>
    </dgm:pt>
    <dgm:pt modelId="{57C23FDE-6AD6-436D-9BF9-FD8A5919AD9B}" type="pres">
      <dgm:prSet presAssocID="{13BA67DB-9F67-41AF-A045-6C5F80F7A006}" presName="sibTransFirstNode" presStyleLbl="bgShp" presStyleIdx="0" presStyleCnt="1"/>
      <dgm:spPr/>
      <dgm:t>
        <a:bodyPr/>
        <a:lstStyle/>
        <a:p>
          <a:endParaRPr lang="pt-PT"/>
        </a:p>
      </dgm:t>
    </dgm:pt>
    <dgm:pt modelId="{DBC2ACFF-69B0-4B45-BC84-9835F8B87BD3}" type="pres">
      <dgm:prSet presAssocID="{D2EDBFA0-CAEF-49D4-A47D-50065E366706}" presName="nodeFollowingNodes" presStyleLbl="node1" presStyleIdx="1" presStyleCnt="7" custScaleX="90988" custScaleY="92355" custRadScaleRad="116701" custRadScaleInc="9299">
        <dgm:presLayoutVars>
          <dgm:bulletEnabled val="1"/>
        </dgm:presLayoutVars>
      </dgm:prSet>
      <dgm:spPr/>
      <dgm:t>
        <a:bodyPr/>
        <a:lstStyle/>
        <a:p>
          <a:endParaRPr lang="pt-PT"/>
        </a:p>
      </dgm:t>
    </dgm:pt>
    <dgm:pt modelId="{8647F719-481D-4E59-8467-58B5B658BB02}" type="pres">
      <dgm:prSet presAssocID="{88552D31-4033-46F9-9BC9-1CED972A30D8}" presName="nodeFollowingNodes" presStyleLbl="node1" presStyleIdx="2" presStyleCnt="7" custRadScaleRad="102950" custRadScaleInc="-19062">
        <dgm:presLayoutVars>
          <dgm:bulletEnabled val="1"/>
        </dgm:presLayoutVars>
      </dgm:prSet>
      <dgm:spPr/>
      <dgm:t>
        <a:bodyPr/>
        <a:lstStyle/>
        <a:p>
          <a:endParaRPr lang="pt-PT"/>
        </a:p>
      </dgm:t>
    </dgm:pt>
    <dgm:pt modelId="{0E9EF893-AB23-4A3F-916D-C8844791C552}" type="pres">
      <dgm:prSet presAssocID="{2F92FF40-3E2D-43DE-BACE-722152BAC95E}" presName="nodeFollowingNodes" presStyleLbl="node1" presStyleIdx="3" presStyleCnt="7" custRadScaleRad="99058" custRadScaleInc="-24564">
        <dgm:presLayoutVars>
          <dgm:bulletEnabled val="1"/>
        </dgm:presLayoutVars>
      </dgm:prSet>
      <dgm:spPr/>
      <dgm:t>
        <a:bodyPr/>
        <a:lstStyle/>
        <a:p>
          <a:endParaRPr lang="pt-PT"/>
        </a:p>
      </dgm:t>
    </dgm:pt>
    <dgm:pt modelId="{B4A2E482-F2D9-42E3-8317-0BA867FEA081}" type="pres">
      <dgm:prSet presAssocID="{8239B937-11CD-403A-BFF0-D5BF115AD7B5}" presName="nodeFollowingNodes" presStyleLbl="node1" presStyleIdx="4" presStyleCnt="7" custRadScaleRad="108710" custRadScaleInc="37722">
        <dgm:presLayoutVars>
          <dgm:bulletEnabled val="1"/>
        </dgm:presLayoutVars>
      </dgm:prSet>
      <dgm:spPr/>
      <dgm:t>
        <a:bodyPr/>
        <a:lstStyle/>
        <a:p>
          <a:endParaRPr lang="pt-PT"/>
        </a:p>
      </dgm:t>
    </dgm:pt>
    <dgm:pt modelId="{3AE5BD2A-8779-474D-810F-DA2621E017F0}" type="pres">
      <dgm:prSet presAssocID="{B5CF133F-D080-47B4-A6E3-7AB12F2F184A}" presName="nodeFollowingNodes" presStyleLbl="node1" presStyleIdx="5" presStyleCnt="7" custRadScaleRad="98301" custRadScaleInc="18000">
        <dgm:presLayoutVars>
          <dgm:bulletEnabled val="1"/>
        </dgm:presLayoutVars>
      </dgm:prSet>
      <dgm:spPr/>
      <dgm:t>
        <a:bodyPr/>
        <a:lstStyle/>
        <a:p>
          <a:endParaRPr lang="pt-PT"/>
        </a:p>
      </dgm:t>
    </dgm:pt>
    <dgm:pt modelId="{E9EB7130-179E-42EB-9300-979AF78494CB}" type="pres">
      <dgm:prSet presAssocID="{73C7452B-24DD-441B-859C-A9BD738CD0F9}" presName="nodeFollowingNodes" presStyleLbl="node1" presStyleIdx="6" presStyleCnt="7" custRadScaleRad="108825" custRadScaleInc="-8842">
        <dgm:presLayoutVars>
          <dgm:bulletEnabled val="1"/>
        </dgm:presLayoutVars>
      </dgm:prSet>
      <dgm:spPr/>
      <dgm:t>
        <a:bodyPr/>
        <a:lstStyle/>
        <a:p>
          <a:endParaRPr lang="pt-PT"/>
        </a:p>
      </dgm:t>
    </dgm:pt>
  </dgm:ptLst>
  <dgm:cxnLst>
    <dgm:cxn modelId="{2A2815B8-560A-46EA-A67C-B62215788B99}" srcId="{1D79CC22-B291-41EF-ADCC-03118D306366}" destId="{D2EDBFA0-CAEF-49D4-A47D-50065E366706}" srcOrd="1" destOrd="0" parTransId="{16E3BBB6-583F-42D1-85E6-B7D830A19FF0}" sibTransId="{181FBA6F-5CD0-497D-8CA2-7B8A0E4A354E}"/>
    <dgm:cxn modelId="{5AA71568-FA26-4D87-9734-5B14FC5A3349}" srcId="{1D79CC22-B291-41EF-ADCC-03118D306366}" destId="{2F92FF40-3E2D-43DE-BACE-722152BAC95E}" srcOrd="3" destOrd="0" parTransId="{7746C2E7-35E7-43E6-B5E9-0329C19E1F48}" sibTransId="{9ACFE458-13DD-4D45-9668-011279A6523F}"/>
    <dgm:cxn modelId="{9A4EA5BD-5CD1-4C0E-BF58-23E87577CE14}" type="presOf" srcId="{2F92FF40-3E2D-43DE-BACE-722152BAC95E}" destId="{0E9EF893-AB23-4A3F-916D-C8844791C552}" srcOrd="0" destOrd="0" presId="urn:microsoft.com/office/officeart/2005/8/layout/cycle3"/>
    <dgm:cxn modelId="{3AC50355-5732-4D77-BBBC-FFE81538FC01}" type="presOf" srcId="{1D79CC22-B291-41EF-ADCC-03118D306366}" destId="{F6FDCD5D-3349-4504-BB1F-01D76EFFA82A}" srcOrd="0" destOrd="0" presId="urn:microsoft.com/office/officeart/2005/8/layout/cycle3"/>
    <dgm:cxn modelId="{AACC9F69-32B2-4A34-9911-38FCA09FC0AE}" type="presOf" srcId="{CE5036BA-255F-4A99-88E8-A64DB06006D2}" destId="{34594796-2F52-49F9-838A-5AA56DD89C47}" srcOrd="0" destOrd="0" presId="urn:microsoft.com/office/officeart/2005/8/layout/cycle3"/>
    <dgm:cxn modelId="{B088546B-3193-4484-AC6D-546C1CE055BF}" type="presOf" srcId="{88552D31-4033-46F9-9BC9-1CED972A30D8}" destId="{8647F719-481D-4E59-8467-58B5B658BB02}" srcOrd="0" destOrd="0" presId="urn:microsoft.com/office/officeart/2005/8/layout/cycle3"/>
    <dgm:cxn modelId="{DACD61C2-BCAA-49D2-9C2A-B56A85458F18}" srcId="{1D79CC22-B291-41EF-ADCC-03118D306366}" destId="{8239B937-11CD-403A-BFF0-D5BF115AD7B5}" srcOrd="4" destOrd="0" parTransId="{5D362FDD-0CFB-4C16-A22E-DE0D626FBD12}" sibTransId="{4AB0C5DC-62EB-44F9-979A-F0289600A95A}"/>
    <dgm:cxn modelId="{72F2BE2E-E618-446C-B898-6D1025CC64B6}" type="presOf" srcId="{73C7452B-24DD-441B-859C-A9BD738CD0F9}" destId="{E9EB7130-179E-42EB-9300-979AF78494CB}" srcOrd="0" destOrd="0" presId="urn:microsoft.com/office/officeart/2005/8/layout/cycle3"/>
    <dgm:cxn modelId="{60F1EB2A-11F7-463E-BBDF-5AF870CC7ABE}" srcId="{1D79CC22-B291-41EF-ADCC-03118D306366}" destId="{88552D31-4033-46F9-9BC9-1CED972A30D8}" srcOrd="2" destOrd="0" parTransId="{D1D61AAF-1A21-432C-BE42-A684F818BD6E}" sibTransId="{5E45B068-B463-4F52-BFE7-4FB2857C340F}"/>
    <dgm:cxn modelId="{ECFFBF9F-3B08-4AE6-B677-3529645B3FFB}" type="presOf" srcId="{B5CF133F-D080-47B4-A6E3-7AB12F2F184A}" destId="{3AE5BD2A-8779-474D-810F-DA2621E017F0}" srcOrd="0" destOrd="0" presId="urn:microsoft.com/office/officeart/2005/8/layout/cycle3"/>
    <dgm:cxn modelId="{A844077C-8103-4935-AB25-BDD7E904396C}" srcId="{1D79CC22-B291-41EF-ADCC-03118D306366}" destId="{B5CF133F-D080-47B4-A6E3-7AB12F2F184A}" srcOrd="5" destOrd="0" parTransId="{E2339018-B053-4C26-888F-835500F508A4}" sibTransId="{0AD4481C-5781-48D3-A285-1DE62E479FF4}"/>
    <dgm:cxn modelId="{3D48D9BE-FCE6-4B8B-9F07-68C06D05D66C}" type="presOf" srcId="{13BA67DB-9F67-41AF-A045-6C5F80F7A006}" destId="{57C23FDE-6AD6-436D-9BF9-FD8A5919AD9B}" srcOrd="0" destOrd="0" presId="urn:microsoft.com/office/officeart/2005/8/layout/cycle3"/>
    <dgm:cxn modelId="{B0909887-6649-4549-9157-54BDE044D3A7}" type="presOf" srcId="{D2EDBFA0-CAEF-49D4-A47D-50065E366706}" destId="{DBC2ACFF-69B0-4B45-BC84-9835F8B87BD3}" srcOrd="0" destOrd="0" presId="urn:microsoft.com/office/officeart/2005/8/layout/cycle3"/>
    <dgm:cxn modelId="{05A448D0-BC1D-4236-9CFE-FBF6ED320748}" srcId="{1D79CC22-B291-41EF-ADCC-03118D306366}" destId="{73C7452B-24DD-441B-859C-A9BD738CD0F9}" srcOrd="6" destOrd="0" parTransId="{19BFB3CD-631E-45C9-B960-7C5CEBD27E1D}" sibTransId="{ECFE9A4F-23B1-4321-A7DB-5C92FE6FF264}"/>
    <dgm:cxn modelId="{88E35F42-5B17-4A9A-A541-2B58364E4D57}" srcId="{1D79CC22-B291-41EF-ADCC-03118D306366}" destId="{CE5036BA-255F-4A99-88E8-A64DB06006D2}" srcOrd="0" destOrd="0" parTransId="{07D9EE25-98EF-4716-8B7F-70A97A4022ED}" sibTransId="{13BA67DB-9F67-41AF-A045-6C5F80F7A006}"/>
    <dgm:cxn modelId="{2372ABA3-B292-471A-87DE-0B8A11218268}" type="presOf" srcId="{8239B937-11CD-403A-BFF0-D5BF115AD7B5}" destId="{B4A2E482-F2D9-42E3-8317-0BA867FEA081}" srcOrd="0" destOrd="0" presId="urn:microsoft.com/office/officeart/2005/8/layout/cycle3"/>
    <dgm:cxn modelId="{BC9EABA4-D006-4FEE-9BF2-A9D2DF5F815B}" type="presParOf" srcId="{F6FDCD5D-3349-4504-BB1F-01D76EFFA82A}" destId="{C0A9CCDE-0FC1-456F-8948-DF59BAE1BC2C}" srcOrd="0" destOrd="0" presId="urn:microsoft.com/office/officeart/2005/8/layout/cycle3"/>
    <dgm:cxn modelId="{6902EDAF-FA1D-4CA7-9623-EDAA78BB8726}" type="presParOf" srcId="{C0A9CCDE-0FC1-456F-8948-DF59BAE1BC2C}" destId="{34594796-2F52-49F9-838A-5AA56DD89C47}" srcOrd="0" destOrd="0" presId="urn:microsoft.com/office/officeart/2005/8/layout/cycle3"/>
    <dgm:cxn modelId="{4D94620A-61E2-46BB-84B8-5DB6DA6EFF94}" type="presParOf" srcId="{C0A9CCDE-0FC1-456F-8948-DF59BAE1BC2C}" destId="{57C23FDE-6AD6-436D-9BF9-FD8A5919AD9B}" srcOrd="1" destOrd="0" presId="urn:microsoft.com/office/officeart/2005/8/layout/cycle3"/>
    <dgm:cxn modelId="{26EC0C4B-F4F3-42D1-BEFB-D08BD7F84C10}" type="presParOf" srcId="{C0A9CCDE-0FC1-456F-8948-DF59BAE1BC2C}" destId="{DBC2ACFF-69B0-4B45-BC84-9835F8B87BD3}" srcOrd="2" destOrd="0" presId="urn:microsoft.com/office/officeart/2005/8/layout/cycle3"/>
    <dgm:cxn modelId="{0A7A80C0-951F-403B-9E29-928202B9C6AB}" type="presParOf" srcId="{C0A9CCDE-0FC1-456F-8948-DF59BAE1BC2C}" destId="{8647F719-481D-4E59-8467-58B5B658BB02}" srcOrd="3" destOrd="0" presId="urn:microsoft.com/office/officeart/2005/8/layout/cycle3"/>
    <dgm:cxn modelId="{76A912EC-0766-4626-BEB4-3A3E2972DCBA}" type="presParOf" srcId="{C0A9CCDE-0FC1-456F-8948-DF59BAE1BC2C}" destId="{0E9EF893-AB23-4A3F-916D-C8844791C552}" srcOrd="4" destOrd="0" presId="urn:microsoft.com/office/officeart/2005/8/layout/cycle3"/>
    <dgm:cxn modelId="{C6E397B5-DB06-4133-BB55-9F304C69850B}" type="presParOf" srcId="{C0A9CCDE-0FC1-456F-8948-DF59BAE1BC2C}" destId="{B4A2E482-F2D9-42E3-8317-0BA867FEA081}" srcOrd="5" destOrd="0" presId="urn:microsoft.com/office/officeart/2005/8/layout/cycle3"/>
    <dgm:cxn modelId="{8C7B6BBD-22F0-405C-BC4B-C742A0B9E3A7}" type="presParOf" srcId="{C0A9CCDE-0FC1-456F-8948-DF59BAE1BC2C}" destId="{3AE5BD2A-8779-474D-810F-DA2621E017F0}" srcOrd="6" destOrd="0" presId="urn:microsoft.com/office/officeart/2005/8/layout/cycle3"/>
    <dgm:cxn modelId="{3DE09511-480F-4DA2-BB71-030BC6126B16}" type="presParOf" srcId="{C0A9CCDE-0FC1-456F-8948-DF59BAE1BC2C}" destId="{E9EB7130-179E-42EB-9300-979AF78494CB}" srcOrd="7"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C23FDE-6AD6-436D-9BF9-FD8A5919AD9B}">
      <dsp:nvSpPr>
        <dsp:cNvPr id="0" name=""/>
        <dsp:cNvSpPr/>
      </dsp:nvSpPr>
      <dsp:spPr>
        <a:xfrm>
          <a:off x="644167" y="-27125"/>
          <a:ext cx="4111704" cy="4111704"/>
        </a:xfrm>
        <a:prstGeom prst="circularArrow">
          <a:avLst>
            <a:gd name="adj1" fmla="val 5544"/>
            <a:gd name="adj2" fmla="val 330680"/>
            <a:gd name="adj3" fmla="val 14541818"/>
            <a:gd name="adj4" fmla="val 16935352"/>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34594796-2F52-49F9-838A-5AA56DD89C47}">
      <dsp:nvSpPr>
        <dsp:cNvPr id="0" name=""/>
        <dsp:cNvSpPr/>
      </dsp:nvSpPr>
      <dsp:spPr>
        <a:xfrm>
          <a:off x="2071817" y="2721"/>
          <a:ext cx="1256405" cy="6282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AIPD</a:t>
          </a:r>
        </a:p>
      </dsp:txBody>
      <dsp:txXfrm>
        <a:off x="2102483" y="33387"/>
        <a:ext cx="1195073" cy="566870"/>
      </dsp:txXfrm>
    </dsp:sp>
    <dsp:sp modelId="{DBC2ACFF-69B0-4B45-BC84-9835F8B87BD3}">
      <dsp:nvSpPr>
        <dsp:cNvPr id="0" name=""/>
        <dsp:cNvSpPr/>
      </dsp:nvSpPr>
      <dsp:spPr>
        <a:xfrm>
          <a:off x="3817064" y="624463"/>
          <a:ext cx="1143178" cy="58017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Intervenientes internos e externos</a:t>
          </a:r>
        </a:p>
      </dsp:txBody>
      <dsp:txXfrm>
        <a:off x="3845386" y="652785"/>
        <a:ext cx="1086534" cy="523532"/>
      </dsp:txXfrm>
    </dsp:sp>
    <dsp:sp modelId="{8647F719-481D-4E59-8467-58B5B658BB02}">
      <dsp:nvSpPr>
        <dsp:cNvPr id="0" name=""/>
        <dsp:cNvSpPr/>
      </dsp:nvSpPr>
      <dsp:spPr>
        <a:xfrm>
          <a:off x="3871901" y="1890807"/>
          <a:ext cx="1256405" cy="6282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Descrição dos fluxos de dados</a:t>
          </a:r>
        </a:p>
      </dsp:txBody>
      <dsp:txXfrm>
        <a:off x="3902567" y="1921473"/>
        <a:ext cx="1195073" cy="566870"/>
      </dsp:txXfrm>
    </dsp:sp>
    <dsp:sp modelId="{0E9EF893-AB23-4A3F-916D-C8844791C552}">
      <dsp:nvSpPr>
        <dsp:cNvPr id="0" name=""/>
        <dsp:cNvSpPr/>
      </dsp:nvSpPr>
      <dsp:spPr>
        <a:xfrm>
          <a:off x="3111471" y="3147463"/>
          <a:ext cx="1256405" cy="6282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Identificação dos riscos de privacidade</a:t>
          </a:r>
        </a:p>
      </dsp:txBody>
      <dsp:txXfrm>
        <a:off x="3142137" y="3178129"/>
        <a:ext cx="1195073" cy="566870"/>
      </dsp:txXfrm>
    </dsp:sp>
    <dsp:sp modelId="{B4A2E482-F2D9-42E3-8317-0BA867FEA081}">
      <dsp:nvSpPr>
        <dsp:cNvPr id="0" name=""/>
        <dsp:cNvSpPr/>
      </dsp:nvSpPr>
      <dsp:spPr>
        <a:xfrm>
          <a:off x="779432" y="3157187"/>
          <a:ext cx="1256405" cy="6282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Desenvolvimento de recomendações</a:t>
          </a:r>
        </a:p>
      </dsp:txBody>
      <dsp:txXfrm>
        <a:off x="810098" y="3187853"/>
        <a:ext cx="1195073" cy="566870"/>
      </dsp:txXfrm>
    </dsp:sp>
    <dsp:sp modelId="{3AE5BD2A-8779-474D-810F-DA2621E017F0}">
      <dsp:nvSpPr>
        <dsp:cNvPr id="0" name=""/>
        <dsp:cNvSpPr/>
      </dsp:nvSpPr>
      <dsp:spPr>
        <a:xfrm>
          <a:off x="354152" y="1899056"/>
          <a:ext cx="1256405" cy="6282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Implementação de soluções</a:t>
          </a:r>
        </a:p>
      </dsp:txBody>
      <dsp:txXfrm>
        <a:off x="384818" y="1929722"/>
        <a:ext cx="1195073" cy="566870"/>
      </dsp:txXfrm>
    </dsp:sp>
    <dsp:sp modelId="{E9EB7130-179E-42EB-9300-979AF78494CB}">
      <dsp:nvSpPr>
        <dsp:cNvPr id="0" name=""/>
        <dsp:cNvSpPr/>
      </dsp:nvSpPr>
      <dsp:spPr>
        <a:xfrm>
          <a:off x="501025" y="672799"/>
          <a:ext cx="1256405" cy="6282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PT" sz="1000" kern="1200"/>
            <a:t>Monitorização e adaptação</a:t>
          </a:r>
        </a:p>
      </dsp:txBody>
      <dsp:txXfrm>
        <a:off x="531691" y="703465"/>
        <a:ext cx="1195073" cy="56687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8A9F-EBAF-4604-8F79-96FB281B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 Gomes</dc:creator>
  <cp:keywords/>
  <dc:description/>
  <cp:lastModifiedBy>Tania Lopes</cp:lastModifiedBy>
  <cp:revision>3</cp:revision>
  <dcterms:created xsi:type="dcterms:W3CDTF">2018-05-14T10:13:00Z</dcterms:created>
  <dcterms:modified xsi:type="dcterms:W3CDTF">2018-05-15T17:14:00Z</dcterms:modified>
</cp:coreProperties>
</file>